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8829" w14:textId="4722313D" w:rsidR="001E07CC" w:rsidRPr="003A3646" w:rsidRDefault="001E07CC" w:rsidP="001E07CC">
      <w:pPr>
        <w:spacing w:after="0" w:line="240" w:lineRule="auto"/>
        <w:jc w:val="center"/>
        <w:rPr>
          <w:rFonts w:ascii="Arial" w:eastAsia="Times New Roman" w:hAnsi="Arial" w:cs="Arial"/>
          <w:b/>
          <w:bCs/>
          <w:color w:val="000000"/>
          <w:kern w:val="0"/>
          <w:sz w:val="24"/>
          <w:szCs w:val="24"/>
          <w:lang w:eastAsia="en-GB"/>
          <w14:ligatures w14:val="none"/>
        </w:rPr>
      </w:pPr>
      <w:r w:rsidRPr="003A3646">
        <w:rPr>
          <w:rFonts w:ascii="Arial" w:eastAsia="Times New Roman" w:hAnsi="Arial" w:cs="Arial"/>
          <w:b/>
          <w:bCs/>
          <w:color w:val="000000"/>
          <w:kern w:val="0"/>
          <w:sz w:val="24"/>
          <w:szCs w:val="24"/>
          <w:lang w:eastAsia="en-GB"/>
          <w14:ligatures w14:val="none"/>
        </w:rPr>
        <w:t>Response to NIH RFI on Re-envisioning US Postdoctoral Research</w:t>
      </w:r>
    </w:p>
    <w:p w14:paraId="05C7D27F" w14:textId="247B86E1" w:rsidR="001E07CC" w:rsidRDefault="001E07CC" w:rsidP="001E07CC">
      <w:pPr>
        <w:spacing w:after="0" w:line="240" w:lineRule="auto"/>
        <w:jc w:val="center"/>
        <w:rPr>
          <w:rFonts w:ascii="Arial" w:eastAsia="Times New Roman" w:hAnsi="Arial" w:cs="Arial"/>
          <w:color w:val="000000"/>
          <w:kern w:val="0"/>
          <w:lang w:eastAsia="en-GB"/>
          <w14:ligatures w14:val="none"/>
        </w:rPr>
      </w:pPr>
    </w:p>
    <w:p w14:paraId="742723BA" w14:textId="0EFCE976" w:rsidR="001E07CC" w:rsidRDefault="001E07CC" w:rsidP="001E07CC">
      <w:pPr>
        <w:spacing w:after="0" w:line="240" w:lineRule="auto"/>
        <w:jc w:val="cente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April 14, 2023</w:t>
      </w:r>
    </w:p>
    <w:p w14:paraId="1794FEBB" w14:textId="77777777" w:rsidR="001E07CC" w:rsidRDefault="001E07CC" w:rsidP="001E07CC">
      <w:pPr>
        <w:spacing w:after="0" w:line="240" w:lineRule="auto"/>
        <w:jc w:val="center"/>
        <w:rPr>
          <w:rFonts w:ascii="Arial" w:eastAsia="Times New Roman" w:hAnsi="Arial" w:cs="Arial"/>
          <w:color w:val="000000"/>
          <w:kern w:val="0"/>
          <w:lang w:eastAsia="en-GB"/>
          <w14:ligatures w14:val="none"/>
        </w:rPr>
      </w:pPr>
    </w:p>
    <w:p w14:paraId="6180B970" w14:textId="2C3EF0B9" w:rsidR="008633AE" w:rsidRDefault="001E07CC" w:rsidP="008633AE">
      <w:pPr>
        <w:spacing w:after="0" w:line="240" w:lineRule="auto"/>
        <w:jc w:val="cente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Mayank Chugh, President, Harvard Medical Postdoc Association</w:t>
      </w:r>
      <w:r w:rsidR="003A3646">
        <w:rPr>
          <w:rFonts w:ascii="Arial" w:eastAsia="Times New Roman" w:hAnsi="Arial" w:cs="Arial"/>
          <w:color w:val="000000"/>
          <w:kern w:val="0"/>
          <w:lang w:eastAsia="en-GB"/>
          <w14:ligatures w14:val="none"/>
        </w:rPr>
        <w:t xml:space="preserve"> (HMPA)</w:t>
      </w:r>
      <w:r w:rsidR="008633AE">
        <w:rPr>
          <w:rFonts w:ascii="Arial" w:eastAsia="Times New Roman" w:hAnsi="Arial" w:cs="Arial"/>
          <w:color w:val="000000"/>
          <w:kern w:val="0"/>
          <w:lang w:eastAsia="en-GB"/>
          <w14:ligatures w14:val="none"/>
        </w:rPr>
        <w:br/>
      </w:r>
      <w:hyperlink r:id="rId5" w:history="1">
        <w:r w:rsidR="008633AE" w:rsidRPr="00567AE6">
          <w:rPr>
            <w:rStyle w:val="Hyperlink"/>
            <w:rFonts w:ascii="Arial" w:eastAsia="Times New Roman" w:hAnsi="Arial" w:cs="Arial"/>
            <w:kern w:val="0"/>
            <w:lang w:eastAsia="en-GB"/>
            <w14:ligatures w14:val="none"/>
          </w:rPr>
          <w:t>mayank_chugh@hms.harvard.edu</w:t>
        </w:r>
      </w:hyperlink>
    </w:p>
    <w:p w14:paraId="13338D73" w14:textId="6887311B" w:rsidR="008633AE" w:rsidRDefault="001E07CC" w:rsidP="008633AE">
      <w:pPr>
        <w:spacing w:after="0" w:line="240" w:lineRule="auto"/>
        <w:jc w:val="cente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Mi</w:t>
      </w:r>
      <w:r w:rsidR="008B572E">
        <w:rPr>
          <w:rFonts w:ascii="Arial" w:eastAsia="Times New Roman" w:hAnsi="Arial" w:cs="Arial"/>
          <w:color w:val="000000"/>
          <w:kern w:val="0"/>
          <w:lang w:eastAsia="en-GB"/>
          <w14:ligatures w14:val="none"/>
        </w:rPr>
        <w:t>chael</w:t>
      </w:r>
      <w:r>
        <w:rPr>
          <w:rFonts w:ascii="Arial" w:eastAsia="Times New Roman" w:hAnsi="Arial" w:cs="Arial"/>
          <w:color w:val="000000"/>
          <w:kern w:val="0"/>
          <w:lang w:eastAsia="en-GB"/>
          <w14:ligatures w14:val="none"/>
        </w:rPr>
        <w:t xml:space="preserve"> Skowyra, Vice-President, Harvard Medical Postdoc Association</w:t>
      </w:r>
      <w:r w:rsidR="003A3646">
        <w:rPr>
          <w:rFonts w:ascii="Arial" w:eastAsia="Times New Roman" w:hAnsi="Arial" w:cs="Arial"/>
          <w:color w:val="000000"/>
          <w:kern w:val="0"/>
          <w:lang w:eastAsia="en-GB"/>
          <w14:ligatures w14:val="none"/>
        </w:rPr>
        <w:t xml:space="preserve"> (HMPA)</w:t>
      </w:r>
      <w:r w:rsidR="008633AE">
        <w:rPr>
          <w:rFonts w:ascii="Arial" w:eastAsia="Times New Roman" w:hAnsi="Arial" w:cs="Arial"/>
          <w:color w:val="000000"/>
          <w:kern w:val="0"/>
          <w:lang w:eastAsia="en-GB"/>
          <w14:ligatures w14:val="none"/>
        </w:rPr>
        <w:br/>
      </w:r>
      <w:hyperlink r:id="rId6" w:history="1">
        <w:r w:rsidR="008B572E" w:rsidRPr="00567AE6">
          <w:rPr>
            <w:rStyle w:val="Hyperlink"/>
            <w:rFonts w:ascii="Arial" w:eastAsia="Times New Roman" w:hAnsi="Arial" w:cs="Arial"/>
            <w:kern w:val="0"/>
            <w:lang w:eastAsia="en-GB"/>
            <w14:ligatures w14:val="none"/>
          </w:rPr>
          <w:t>michal_skowyra@hms.harvard.edu</w:t>
        </w:r>
      </w:hyperlink>
    </w:p>
    <w:p w14:paraId="61402812" w14:textId="6338C03B" w:rsidR="003A3646" w:rsidRDefault="001E07CC" w:rsidP="008633AE">
      <w:pPr>
        <w:spacing w:after="0" w:line="240" w:lineRule="auto"/>
        <w:jc w:val="cente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br/>
      </w:r>
      <w:r w:rsidR="003A3646">
        <w:rPr>
          <w:rFonts w:ascii="Arial" w:eastAsia="Times New Roman" w:hAnsi="Arial" w:cs="Arial"/>
          <w:color w:val="000000"/>
          <w:kern w:val="0"/>
          <w:lang w:eastAsia="en-GB"/>
          <w14:ligatures w14:val="none"/>
        </w:rPr>
        <w:t>On behalf of Harvard Medical Postdoc Association (HMPA)</w:t>
      </w:r>
    </w:p>
    <w:p w14:paraId="31F22A99" w14:textId="1E05D81A" w:rsidR="001E07CC" w:rsidRDefault="001E07CC" w:rsidP="001E07CC">
      <w:pPr>
        <w:spacing w:after="0" w:line="240" w:lineRule="auto"/>
        <w:jc w:val="center"/>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Harvard Medical School, Boston, MA</w:t>
      </w:r>
      <w:r>
        <w:rPr>
          <w:rFonts w:ascii="Arial" w:eastAsia="Times New Roman" w:hAnsi="Arial" w:cs="Arial"/>
          <w:color w:val="000000"/>
          <w:kern w:val="0"/>
          <w:lang w:eastAsia="en-GB"/>
          <w14:ligatures w14:val="none"/>
        </w:rPr>
        <w:br/>
      </w:r>
    </w:p>
    <w:p w14:paraId="69134CF0" w14:textId="77777777" w:rsidR="001E07CC" w:rsidRDefault="001E07CC" w:rsidP="001E07CC">
      <w:pPr>
        <w:spacing w:after="0" w:line="240" w:lineRule="auto"/>
        <w:jc w:val="center"/>
        <w:rPr>
          <w:rFonts w:ascii="Arial" w:eastAsia="Times New Roman" w:hAnsi="Arial" w:cs="Arial"/>
          <w:color w:val="000000"/>
          <w:kern w:val="0"/>
          <w:lang w:eastAsia="en-GB"/>
          <w14:ligatures w14:val="none"/>
        </w:rPr>
      </w:pPr>
    </w:p>
    <w:p w14:paraId="1037A4A2" w14:textId="77777777" w:rsidR="001E07CC" w:rsidRDefault="001E07CC" w:rsidP="001E07CC">
      <w:pPr>
        <w:spacing w:after="0" w:line="240" w:lineRule="auto"/>
        <w:jc w:val="both"/>
        <w:rPr>
          <w:rFonts w:ascii="Arial" w:eastAsia="Times New Roman" w:hAnsi="Arial" w:cs="Arial"/>
          <w:color w:val="000000"/>
          <w:kern w:val="0"/>
          <w:lang w:eastAsia="en-GB"/>
          <w14:ligatures w14:val="none"/>
        </w:rPr>
      </w:pPr>
    </w:p>
    <w:p w14:paraId="39848DBA" w14:textId="565183BC" w:rsidR="001E07CC" w:rsidRPr="001E07CC" w:rsidRDefault="001E07CC" w:rsidP="001E07CC">
      <w:pPr>
        <w:spacing w:after="0" w:line="240" w:lineRule="auto"/>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The Harvard Medical Postdoc Association (HMPA) is one of the largest postdoctoral associations in the Boston Metropolitan Area, and represents over 5000 postdocs from Harvard Medical School (HMS), Harvard School of Dental Medicine (HSDM) and Harvard-</w:t>
      </w:r>
      <w:hyperlink r:id="rId7" w:history="1">
        <w:r w:rsidRPr="001E07CC">
          <w:rPr>
            <w:rFonts w:ascii="Arial" w:eastAsia="Times New Roman" w:hAnsi="Arial" w:cs="Arial"/>
            <w:color w:val="1155CC"/>
            <w:kern w:val="0"/>
            <w:u w:val="single"/>
            <w:lang w:eastAsia="en-GB"/>
            <w14:ligatures w14:val="none"/>
          </w:rPr>
          <w:t>affiliated hospitals</w:t>
        </w:r>
      </w:hyperlink>
      <w:r w:rsidRPr="001E07CC">
        <w:rPr>
          <w:rFonts w:ascii="Arial" w:eastAsia="Times New Roman" w:hAnsi="Arial" w:cs="Arial"/>
          <w:color w:val="000000"/>
          <w:kern w:val="0"/>
          <w:lang w:eastAsia="en-GB"/>
          <w14:ligatures w14:val="none"/>
        </w:rPr>
        <w:t>. </w:t>
      </w:r>
    </w:p>
    <w:p w14:paraId="2D3DDFAE" w14:textId="77777777"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p>
    <w:p w14:paraId="39BAD826" w14:textId="77777777" w:rsidR="001E07CC" w:rsidRPr="001E07CC" w:rsidRDefault="001E07CC" w:rsidP="001E07CC">
      <w:pPr>
        <w:spacing w:after="0" w:line="240" w:lineRule="auto"/>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 xml:space="preserve">We, the postdoctoral members of the HMPA, are grateful to the National Institutes of Health (NIH) for providing an opportunity to provide </w:t>
      </w:r>
      <w:hyperlink r:id="rId8" w:history="1">
        <w:r w:rsidRPr="001E07CC">
          <w:rPr>
            <w:rFonts w:ascii="Arial" w:eastAsia="Times New Roman" w:hAnsi="Arial" w:cs="Arial"/>
            <w:color w:val="1155CC"/>
            <w:kern w:val="0"/>
            <w:u w:val="single"/>
            <w:lang w:eastAsia="en-GB"/>
            <w14:ligatures w14:val="none"/>
          </w:rPr>
          <w:t>direct feedback on the current state of US postdoctoral experiences</w:t>
        </w:r>
      </w:hyperlink>
      <w:r w:rsidRPr="001E07CC">
        <w:rPr>
          <w:rFonts w:ascii="Arial" w:eastAsia="Times New Roman" w:hAnsi="Arial" w:cs="Arial"/>
          <w:color w:val="000000"/>
          <w:kern w:val="0"/>
          <w:lang w:eastAsia="en-GB"/>
          <w14:ligatures w14:val="none"/>
        </w:rPr>
        <w:t xml:space="preserve"> and challenges, and to offer recommendations for equitably enriching the US postdoctoral ecosystem . </w:t>
      </w:r>
    </w:p>
    <w:p w14:paraId="5002FDA6" w14:textId="77777777"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p>
    <w:p w14:paraId="1DC9ACF6" w14:textId="77777777" w:rsidR="001E07CC" w:rsidRPr="001E07CC" w:rsidRDefault="001E07CC" w:rsidP="001E07CC">
      <w:pPr>
        <w:spacing w:after="0" w:line="240" w:lineRule="auto"/>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We discuss long-standing issues in the US postdoctoral system and suggest solutions that align with the goals of the NIH for inclusive excellence. Our recommendations are rooted in equity and inclusion and seek NIH-actionable support in setting global standards for a valued postdoctoral appointment.</w:t>
      </w:r>
    </w:p>
    <w:p w14:paraId="763B2599" w14:textId="0C321B6A" w:rsidR="001E07CC" w:rsidRPr="001E07CC" w:rsidRDefault="001E07CC" w:rsidP="001E07CC">
      <w:pPr>
        <w:spacing w:after="0" w:line="240" w:lineRule="auto"/>
        <w:rPr>
          <w:rFonts w:ascii="Times New Roman" w:eastAsia="Times New Roman" w:hAnsi="Times New Roman" w:cs="Times New Roman"/>
          <w:i/>
          <w:iCs/>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br/>
      </w:r>
      <w:r w:rsidRPr="001E07CC">
        <w:rPr>
          <w:rFonts w:ascii="Arial" w:eastAsia="Times New Roman" w:hAnsi="Arial" w:cs="Arial"/>
          <w:i/>
          <w:iCs/>
          <w:color w:val="000000"/>
          <w:kern w:val="0"/>
          <w:lang w:eastAsia="en-GB"/>
          <w14:ligatures w14:val="none"/>
        </w:rPr>
        <w:t>Fundamental challenges in the US postdoc system</w:t>
      </w:r>
      <w:r w:rsidRPr="001E07CC">
        <w:rPr>
          <w:rFonts w:ascii="Arial" w:eastAsia="Times New Roman" w:hAnsi="Arial" w:cs="Arial"/>
          <w:i/>
          <w:iCs/>
          <w:color w:val="000000"/>
          <w:kern w:val="0"/>
          <w:lang w:eastAsia="en-GB"/>
          <w14:ligatures w14:val="none"/>
        </w:rPr>
        <w:tab/>
      </w:r>
      <w:r w:rsidRPr="001E07CC">
        <w:rPr>
          <w:rFonts w:ascii="Arial" w:eastAsia="Times New Roman" w:hAnsi="Arial" w:cs="Arial"/>
          <w:i/>
          <w:iCs/>
          <w:color w:val="000000"/>
          <w:kern w:val="0"/>
          <w:lang w:eastAsia="en-GB"/>
          <w14:ligatures w14:val="none"/>
        </w:rPr>
        <w:tab/>
      </w:r>
      <w:r w:rsidRPr="001E07CC">
        <w:rPr>
          <w:rFonts w:ascii="Arial" w:eastAsia="Times New Roman" w:hAnsi="Arial" w:cs="Arial"/>
          <w:i/>
          <w:iCs/>
          <w:color w:val="000000"/>
          <w:kern w:val="0"/>
          <w:lang w:eastAsia="en-GB"/>
          <w14:ligatures w14:val="none"/>
        </w:rPr>
        <w:tab/>
      </w:r>
      <w:r w:rsidRPr="001E07CC">
        <w:rPr>
          <w:rFonts w:ascii="Arial" w:eastAsia="Times New Roman" w:hAnsi="Arial" w:cs="Arial"/>
          <w:i/>
          <w:iCs/>
          <w:color w:val="000000"/>
          <w:kern w:val="0"/>
          <w:lang w:eastAsia="en-GB"/>
          <w14:ligatures w14:val="none"/>
        </w:rPr>
        <w:tab/>
      </w:r>
      <w:r w:rsidRPr="001E07CC">
        <w:rPr>
          <w:rFonts w:ascii="Arial" w:eastAsia="Times New Roman" w:hAnsi="Arial" w:cs="Arial"/>
          <w:i/>
          <w:iCs/>
          <w:color w:val="000000"/>
          <w:kern w:val="0"/>
          <w:lang w:eastAsia="en-GB"/>
          <w14:ligatures w14:val="none"/>
        </w:rPr>
        <w:tab/>
      </w:r>
      <w:r w:rsidRPr="001E07CC">
        <w:rPr>
          <w:rFonts w:ascii="Arial" w:eastAsia="Times New Roman" w:hAnsi="Arial" w:cs="Arial"/>
          <w:i/>
          <w:iCs/>
          <w:color w:val="000000"/>
          <w:kern w:val="0"/>
          <w:lang w:eastAsia="en-GB"/>
          <w14:ligatures w14:val="none"/>
        </w:rPr>
        <w:tab/>
      </w:r>
    </w:p>
    <w:p w14:paraId="561E5DE2" w14:textId="77777777"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ab/>
      </w:r>
      <w:r w:rsidRPr="001E07CC">
        <w:rPr>
          <w:rFonts w:ascii="Arial" w:eastAsia="Times New Roman" w:hAnsi="Arial" w:cs="Arial"/>
          <w:color w:val="000000"/>
          <w:kern w:val="0"/>
          <w:lang w:eastAsia="en-GB"/>
          <w14:ligatures w14:val="none"/>
        </w:rPr>
        <w:tab/>
      </w:r>
    </w:p>
    <w:p w14:paraId="66049851" w14:textId="58901D06" w:rsidR="001E07CC" w:rsidRPr="001E07CC" w:rsidRDefault="001E07CC" w:rsidP="001E07CC">
      <w:pPr>
        <w:pStyle w:val="ListParagraph"/>
        <w:numPr>
          <w:ilvl w:val="0"/>
          <w:numId w:val="15"/>
        </w:numPr>
        <w:spacing w:after="0" w:line="240" w:lineRule="auto"/>
        <w:textAlignment w:val="baseline"/>
        <w:rPr>
          <w:rFonts w:ascii="Arial" w:eastAsia="Times New Roman" w:hAnsi="Arial" w:cs="Arial"/>
          <w:b/>
          <w:bCs/>
          <w:color w:val="000000"/>
          <w:kern w:val="0"/>
          <w:lang w:eastAsia="en-GB"/>
          <w14:ligatures w14:val="none"/>
        </w:rPr>
      </w:pPr>
      <w:r w:rsidRPr="001E07CC">
        <w:rPr>
          <w:rFonts w:ascii="Arial" w:eastAsia="Times New Roman" w:hAnsi="Arial" w:cs="Arial"/>
          <w:b/>
          <w:bCs/>
          <w:color w:val="000000"/>
          <w:kern w:val="0"/>
          <w:lang w:eastAsia="en-GB"/>
          <w14:ligatures w14:val="none"/>
        </w:rPr>
        <w:t xml:space="preserve">Varying and opaque titles of postdocs perpetuate systemic </w:t>
      </w:r>
      <w:proofErr w:type="gramStart"/>
      <w:r w:rsidRPr="001E07CC">
        <w:rPr>
          <w:rFonts w:ascii="Arial" w:eastAsia="Times New Roman" w:hAnsi="Arial" w:cs="Arial"/>
          <w:b/>
          <w:bCs/>
          <w:color w:val="000000"/>
          <w:kern w:val="0"/>
          <w:lang w:eastAsia="en-GB"/>
          <w14:ligatures w14:val="none"/>
        </w:rPr>
        <w:t>disparities</w:t>
      </w:r>
      <w:proofErr w:type="gramEnd"/>
    </w:p>
    <w:p w14:paraId="595446DF" w14:textId="5BD9EB29" w:rsidR="001E07CC" w:rsidRPr="001E07CC" w:rsidRDefault="001E07CC" w:rsidP="001E07CC">
      <w:pPr>
        <w:spacing w:after="0" w:line="240" w:lineRule="auto"/>
        <w:ind w:left="72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 xml:space="preserve">Postdocs are highly skilled young professionals categorised as trainees, research fellows, research associates, research scholars, instructors, or staff, among others. This variation in title creates differences in salary, tax burden, access to benefits (such as health, pension, parental leave, vacations, childcare, etc.), appointment period, and job security, while the nature of work is the same. Such discrepancy in postdoc appointments is long pervasive. The root problems with varying appointment titles have been repeatedly emphasised by the </w:t>
      </w:r>
      <w:hyperlink r:id="rId9" w:history="1">
        <w:r w:rsidRPr="001E07CC">
          <w:rPr>
            <w:rFonts w:ascii="Arial" w:eastAsia="Times New Roman" w:hAnsi="Arial" w:cs="Arial"/>
            <w:color w:val="1155CC"/>
            <w:kern w:val="0"/>
            <w:u w:val="single"/>
            <w:lang w:eastAsia="en-GB"/>
            <w14:ligatures w14:val="none"/>
          </w:rPr>
          <w:t>National Research Council in 1969</w:t>
        </w:r>
      </w:hyperlink>
      <w:r w:rsidRPr="001E07CC">
        <w:rPr>
          <w:rFonts w:ascii="Arial" w:eastAsia="Times New Roman" w:hAnsi="Arial" w:cs="Arial"/>
          <w:color w:val="000000"/>
          <w:kern w:val="0"/>
          <w:lang w:eastAsia="en-GB"/>
          <w14:ligatures w14:val="none"/>
        </w:rPr>
        <w:t xml:space="preserve"> report; surveys by the National Academies of Sciences, Engineering, and Medicine (NASEM), including the Committee on Science, Engineering, and Public Policy (</w:t>
      </w:r>
      <w:hyperlink r:id="rId10" w:history="1">
        <w:r w:rsidRPr="001E07CC">
          <w:rPr>
            <w:rFonts w:ascii="Arial" w:eastAsia="Times New Roman" w:hAnsi="Arial" w:cs="Arial"/>
            <w:color w:val="1155CC"/>
            <w:kern w:val="0"/>
            <w:u w:val="single"/>
            <w:lang w:eastAsia="en-GB"/>
            <w14:ligatures w14:val="none"/>
          </w:rPr>
          <w:t>COSEPUP</w:t>
        </w:r>
      </w:hyperlink>
      <w:r w:rsidRPr="001E07CC">
        <w:rPr>
          <w:rFonts w:ascii="Arial" w:eastAsia="Times New Roman" w:hAnsi="Arial" w:cs="Arial"/>
          <w:color w:val="000000"/>
          <w:kern w:val="0"/>
          <w:lang w:eastAsia="en-GB"/>
          <w14:ligatures w14:val="none"/>
        </w:rPr>
        <w:t xml:space="preserve"> - a joint committee of the National Academies in 1999); </w:t>
      </w:r>
      <w:hyperlink r:id="rId11" w:history="1">
        <w:r w:rsidRPr="001E07CC">
          <w:rPr>
            <w:rFonts w:ascii="Arial" w:eastAsia="Times New Roman" w:hAnsi="Arial" w:cs="Arial"/>
            <w:color w:val="1155CC"/>
            <w:kern w:val="0"/>
            <w:u w:val="single"/>
            <w:lang w:eastAsia="en-GB"/>
            <w14:ligatures w14:val="none"/>
          </w:rPr>
          <w:t>surveys of individual institutions since the 1990s</w:t>
        </w:r>
      </w:hyperlink>
      <w:r w:rsidRPr="001E07CC">
        <w:rPr>
          <w:rFonts w:ascii="Arial" w:eastAsia="Times New Roman" w:hAnsi="Arial" w:cs="Arial"/>
          <w:color w:val="000000"/>
          <w:kern w:val="0"/>
          <w:lang w:eastAsia="en-GB"/>
          <w14:ligatures w14:val="none"/>
        </w:rPr>
        <w:t xml:space="preserve">; and more recently, surveys by the </w:t>
      </w:r>
      <w:hyperlink r:id="rId12" w:history="1">
        <w:r w:rsidRPr="001E07CC">
          <w:rPr>
            <w:rFonts w:ascii="Arial" w:eastAsia="Times New Roman" w:hAnsi="Arial" w:cs="Arial"/>
            <w:color w:val="1155CC"/>
            <w:kern w:val="0"/>
            <w:u w:val="single"/>
            <w:lang w:eastAsia="en-GB"/>
            <w14:ligatures w14:val="none"/>
          </w:rPr>
          <w:t>National Postdoc Association (NPA)</w:t>
        </w:r>
      </w:hyperlink>
      <w:r w:rsidRPr="001E07CC">
        <w:rPr>
          <w:rFonts w:ascii="Arial" w:eastAsia="Times New Roman" w:hAnsi="Arial" w:cs="Arial"/>
          <w:color w:val="000000"/>
          <w:kern w:val="0"/>
          <w:lang w:eastAsia="en-GB"/>
          <w14:ligatures w14:val="none"/>
        </w:rPr>
        <w:t xml:space="preserve">. While the </w:t>
      </w:r>
      <w:hyperlink r:id="rId13" w:history="1">
        <w:r w:rsidRPr="001E07CC">
          <w:rPr>
            <w:rFonts w:ascii="Arial" w:eastAsia="Times New Roman" w:hAnsi="Arial" w:cs="Arial"/>
            <w:color w:val="1155CC"/>
            <w:kern w:val="0"/>
            <w:u w:val="single"/>
            <w:lang w:eastAsia="en-GB"/>
            <w14:ligatures w14:val="none"/>
          </w:rPr>
          <w:t>NIH refers to postdocs as trainees</w:t>
        </w:r>
      </w:hyperlink>
      <w:r w:rsidRPr="001E07CC">
        <w:rPr>
          <w:rFonts w:ascii="Arial" w:eastAsia="Times New Roman" w:hAnsi="Arial" w:cs="Arial"/>
          <w:color w:val="000000"/>
          <w:kern w:val="0"/>
          <w:lang w:eastAsia="en-GB"/>
          <w14:ligatures w14:val="none"/>
        </w:rPr>
        <w:t xml:space="preserve"> as per the National Research Service Awards (NRSA), the term ‘training’ for highly skilled labour is </w:t>
      </w:r>
      <w:r w:rsidRPr="001E07CC">
        <w:rPr>
          <w:rFonts w:ascii="Arial" w:eastAsia="Times New Roman" w:hAnsi="Arial" w:cs="Arial"/>
          <w:i/>
          <w:iCs/>
          <w:color w:val="000000"/>
          <w:kern w:val="0"/>
          <w:lang w:eastAsia="en-GB"/>
          <w14:ligatures w14:val="none"/>
        </w:rPr>
        <w:t>exploitative</w:t>
      </w:r>
      <w:r w:rsidRPr="001E07CC">
        <w:rPr>
          <w:rFonts w:ascii="Arial" w:eastAsia="Times New Roman" w:hAnsi="Arial" w:cs="Arial"/>
          <w:color w:val="000000"/>
          <w:kern w:val="0"/>
          <w:lang w:eastAsia="en-GB"/>
          <w14:ligatures w14:val="none"/>
        </w:rPr>
        <w:t xml:space="preserve"> in a historically exclusionary system. Although varying postdoc titles are institutionally regulated due to funding sources, an </w:t>
      </w:r>
      <w:hyperlink r:id="rId14" w:history="1">
        <w:r w:rsidRPr="001E07CC">
          <w:rPr>
            <w:rFonts w:ascii="Arial" w:eastAsia="Times New Roman" w:hAnsi="Arial" w:cs="Arial"/>
            <w:color w:val="1155CC"/>
            <w:kern w:val="0"/>
            <w:u w:val="single"/>
            <w:lang w:eastAsia="en-GB"/>
            <w14:ligatures w14:val="none"/>
          </w:rPr>
          <w:t>Advisory Committee to the Director (ACD) in 2014 recommended adjusting benefits policies so that all NIH-supported postdocs</w:t>
        </w:r>
        <w:r>
          <w:rPr>
            <w:rFonts w:ascii="Arial" w:eastAsia="Times New Roman" w:hAnsi="Arial" w:cs="Arial"/>
            <w:color w:val="1155CC"/>
            <w:kern w:val="0"/>
            <w:u w:val="single"/>
            <w:lang w:eastAsia="en-GB"/>
            <w14:ligatures w14:val="none"/>
          </w:rPr>
          <w:t xml:space="preserve"> </w:t>
        </w:r>
        <w:r w:rsidRPr="001E07CC">
          <w:rPr>
            <w:rFonts w:ascii="Arial" w:eastAsia="Times New Roman" w:hAnsi="Arial" w:cs="Arial"/>
            <w:color w:val="1155CC"/>
            <w:kern w:val="0"/>
            <w:u w:val="single"/>
            <w:lang w:eastAsia="en-GB"/>
            <w14:ligatures w14:val="none"/>
          </w:rPr>
          <w:t>on any form receive benefits comparable to institution employees.</w:t>
        </w:r>
      </w:hyperlink>
      <w:r w:rsidRPr="001E07CC">
        <w:rPr>
          <w:rFonts w:ascii="Arial" w:eastAsia="Times New Roman" w:hAnsi="Arial" w:cs="Arial"/>
          <w:color w:val="000000"/>
          <w:kern w:val="0"/>
          <w:lang w:eastAsia="en-GB"/>
          <w14:ligatures w14:val="none"/>
        </w:rPr>
        <w:t xml:space="preserve"> Following that report in 2015, NIH conducted a survey and issued a request for information (RFI), where commentators and contributors elaborated that </w:t>
      </w:r>
      <w:hyperlink r:id="rId15" w:history="1">
        <w:r w:rsidRPr="001E07CC">
          <w:rPr>
            <w:rFonts w:ascii="Arial" w:eastAsia="Times New Roman" w:hAnsi="Arial" w:cs="Arial"/>
            <w:color w:val="1155CC"/>
            <w:kern w:val="0"/>
            <w:u w:val="single"/>
            <w:lang w:eastAsia="en-GB"/>
            <w14:ligatures w14:val="none"/>
          </w:rPr>
          <w:t>NRSA is a contributor to observed benefits inequity</w:t>
        </w:r>
      </w:hyperlink>
      <w:r w:rsidRPr="001E07CC">
        <w:rPr>
          <w:rFonts w:ascii="Arial" w:eastAsia="Times New Roman" w:hAnsi="Arial" w:cs="Arial"/>
          <w:color w:val="000000"/>
          <w:kern w:val="0"/>
          <w:lang w:eastAsia="en-GB"/>
          <w14:ligatures w14:val="none"/>
        </w:rPr>
        <w:t xml:space="preserve"> and offered recommendations. The failure to act and support highly skilled labour that feeds into the US and global economic system is a bottleneck to academic progress.   </w:t>
      </w:r>
    </w:p>
    <w:p w14:paraId="112FC4FD" w14:textId="77777777" w:rsidR="001E07CC" w:rsidRPr="001E07CC" w:rsidRDefault="001E07CC" w:rsidP="001E07CC">
      <w:pPr>
        <w:spacing w:after="0" w:line="240" w:lineRule="auto"/>
        <w:ind w:left="72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  </w:t>
      </w:r>
    </w:p>
    <w:p w14:paraId="70A4C791" w14:textId="77777777" w:rsidR="001E07CC" w:rsidRPr="001E07CC" w:rsidRDefault="001E07CC" w:rsidP="001E07CC">
      <w:pPr>
        <w:numPr>
          <w:ilvl w:val="0"/>
          <w:numId w:val="2"/>
        </w:numPr>
        <w:spacing w:after="0" w:line="240" w:lineRule="auto"/>
        <w:textAlignment w:val="baseline"/>
        <w:rPr>
          <w:rFonts w:ascii="Arial" w:eastAsia="Times New Roman" w:hAnsi="Arial" w:cs="Arial"/>
          <w:b/>
          <w:bCs/>
          <w:color w:val="000000"/>
          <w:kern w:val="0"/>
          <w:lang w:eastAsia="en-GB"/>
          <w14:ligatures w14:val="none"/>
        </w:rPr>
      </w:pPr>
      <w:r w:rsidRPr="001E07CC">
        <w:rPr>
          <w:rFonts w:ascii="Arial" w:eastAsia="Times New Roman" w:hAnsi="Arial" w:cs="Arial"/>
          <w:b/>
          <w:bCs/>
          <w:color w:val="000000"/>
          <w:kern w:val="0"/>
          <w:lang w:eastAsia="en-GB"/>
          <w14:ligatures w14:val="none"/>
        </w:rPr>
        <w:t xml:space="preserve">Inadequate compensation creates selection pressure to leave </w:t>
      </w:r>
      <w:proofErr w:type="gramStart"/>
      <w:r w:rsidRPr="001E07CC">
        <w:rPr>
          <w:rFonts w:ascii="Arial" w:eastAsia="Times New Roman" w:hAnsi="Arial" w:cs="Arial"/>
          <w:b/>
          <w:bCs/>
          <w:color w:val="000000"/>
          <w:kern w:val="0"/>
          <w:lang w:eastAsia="en-GB"/>
          <w14:ligatures w14:val="none"/>
        </w:rPr>
        <w:t>academia</w:t>
      </w:r>
      <w:proofErr w:type="gramEnd"/>
    </w:p>
    <w:p w14:paraId="1E193F03" w14:textId="468C914F" w:rsidR="003A3646" w:rsidRDefault="001E07CC" w:rsidP="001E07CC">
      <w:pPr>
        <w:spacing w:after="0" w:line="240" w:lineRule="auto"/>
        <w:ind w:left="720"/>
        <w:jc w:val="both"/>
        <w:rPr>
          <w:rFonts w:ascii="Arial" w:eastAsia="Times New Roman" w:hAnsi="Arial" w:cs="Arial"/>
          <w:i/>
          <w:iCs/>
          <w:color w:val="000000"/>
          <w:kern w:val="0"/>
          <w:lang w:eastAsia="en-GB"/>
          <w14:ligatures w14:val="none"/>
        </w:rPr>
      </w:pPr>
      <w:r w:rsidRPr="001E07CC">
        <w:rPr>
          <w:rFonts w:ascii="Arial" w:eastAsia="Times New Roman" w:hAnsi="Arial" w:cs="Arial"/>
          <w:color w:val="000000"/>
          <w:kern w:val="0"/>
          <w:lang w:eastAsia="en-GB"/>
          <w14:ligatures w14:val="none"/>
        </w:rPr>
        <w:t xml:space="preserve">Besides contributing factors to the inequitable compensation policy discussed above, the benefits commonly offered to postdocs are insufficient, especially when the salary is </w:t>
      </w:r>
      <w:r w:rsidRPr="001E07CC">
        <w:rPr>
          <w:rFonts w:ascii="Arial" w:eastAsia="Times New Roman" w:hAnsi="Arial" w:cs="Arial"/>
          <w:color w:val="000000"/>
          <w:kern w:val="0"/>
          <w:lang w:eastAsia="en-GB"/>
          <w14:ligatures w14:val="none"/>
        </w:rPr>
        <w:lastRenderedPageBreak/>
        <w:t xml:space="preserve">inadequate. As per the </w:t>
      </w:r>
      <w:hyperlink r:id="rId16" w:history="1">
        <w:r w:rsidRPr="001E07CC">
          <w:rPr>
            <w:rFonts w:ascii="Arial" w:eastAsia="Times New Roman" w:hAnsi="Arial" w:cs="Arial"/>
            <w:color w:val="1155CC"/>
            <w:kern w:val="0"/>
            <w:u w:val="single"/>
            <w:lang w:eastAsia="en-GB"/>
            <w14:ligatures w14:val="none"/>
          </w:rPr>
          <w:t>latest NPA report</w:t>
        </w:r>
      </w:hyperlink>
      <w:r w:rsidRPr="001E07CC">
        <w:rPr>
          <w:rFonts w:ascii="Arial" w:eastAsia="Times New Roman" w:hAnsi="Arial" w:cs="Arial"/>
          <w:color w:val="000000"/>
          <w:kern w:val="0"/>
          <w:lang w:eastAsia="en-GB"/>
          <w14:ligatures w14:val="none"/>
        </w:rPr>
        <w:t xml:space="preserve">, the inequality in postdoc benefits differs based on appointment. While most postdocs receive basic health insurance, </w:t>
      </w:r>
      <w:r w:rsidR="00984C82">
        <w:rPr>
          <w:rFonts w:ascii="Arial" w:eastAsia="Times New Roman" w:hAnsi="Arial" w:cs="Arial"/>
          <w:color w:val="000000"/>
          <w:kern w:val="0"/>
          <w:lang w:eastAsia="en-GB"/>
          <w14:ligatures w14:val="none"/>
        </w:rPr>
        <w:t>access to</w:t>
      </w:r>
      <w:r w:rsidRPr="001E07CC">
        <w:rPr>
          <w:rFonts w:ascii="Arial" w:eastAsia="Times New Roman" w:hAnsi="Arial" w:cs="Arial"/>
          <w:color w:val="000000"/>
          <w:kern w:val="0"/>
          <w:lang w:eastAsia="en-GB"/>
          <w14:ligatures w14:val="none"/>
        </w:rPr>
        <w:t xml:space="preserve"> childcare subsidy, housing support, retirement benefits, adoption assistance, and long-term disability remain poor, threatening family security and responsibilities. To make matters worse, the NRSA stipend guide, which serves as a de facto minimum salary ($56,484 for 2023-24) for postdocs across most US institutions, does not account for geographical cost-of-living. </w:t>
      </w:r>
      <w:r w:rsidRPr="001E07CC">
        <w:rPr>
          <w:rFonts w:ascii="Arial" w:eastAsia="Times New Roman" w:hAnsi="Arial" w:cs="Arial"/>
          <w:i/>
          <w:iCs/>
          <w:color w:val="000000"/>
          <w:kern w:val="0"/>
          <w:lang w:eastAsia="en-GB"/>
          <w14:ligatures w14:val="none"/>
        </w:rPr>
        <w:t>It is notable that the legal minimum salary is $23,660, and postdoc salary data collected from US institutions during 2016-2022 by Gary McDowell confirm that there are postdocs receiving this salary.</w:t>
      </w:r>
      <w:r w:rsidRPr="001E07CC">
        <w:rPr>
          <w:rFonts w:ascii="Arial" w:eastAsia="Times New Roman" w:hAnsi="Arial" w:cs="Arial"/>
          <w:color w:val="000000"/>
          <w:kern w:val="0"/>
          <w:lang w:eastAsia="en-GB"/>
          <w14:ligatures w14:val="none"/>
        </w:rPr>
        <w:t xml:space="preserve"> </w:t>
      </w:r>
      <w:hyperlink r:id="rId17" w:history="1">
        <w:r w:rsidRPr="001E07CC">
          <w:rPr>
            <w:rStyle w:val="Hyperlink"/>
            <w:rFonts w:ascii="Arial" w:eastAsia="Times New Roman" w:hAnsi="Arial" w:cs="Arial"/>
            <w:color w:val="0066FF"/>
            <w:kern w:val="0"/>
            <w:lang w:eastAsia="en-GB"/>
            <w14:ligatures w14:val="none"/>
          </w:rPr>
          <w:t>Many case studies</w:t>
        </w:r>
      </w:hyperlink>
      <w:r w:rsidRPr="001E07CC">
        <w:rPr>
          <w:rFonts w:ascii="Arial" w:eastAsia="Times New Roman" w:hAnsi="Arial" w:cs="Arial"/>
          <w:color w:val="000000"/>
          <w:kern w:val="0"/>
          <w:lang w:eastAsia="en-GB"/>
          <w14:ligatures w14:val="none"/>
        </w:rPr>
        <w:t xml:space="preserve"> and </w:t>
      </w:r>
      <w:hyperlink r:id="rId18" w:history="1">
        <w:r w:rsidRPr="001E07CC">
          <w:rPr>
            <w:rStyle w:val="Hyperlink"/>
            <w:rFonts w:ascii="Arial" w:eastAsia="Times New Roman" w:hAnsi="Arial" w:cs="Arial"/>
            <w:color w:val="0066FF"/>
            <w:kern w:val="0"/>
            <w:lang w:eastAsia="en-GB"/>
            <w14:ligatures w14:val="none"/>
          </w:rPr>
          <w:t>analyses</w:t>
        </w:r>
      </w:hyperlink>
      <w:r w:rsidR="003A3646" w:rsidRPr="003A3646">
        <w:rPr>
          <w:rFonts w:ascii="Arial" w:eastAsia="Times New Roman" w:hAnsi="Arial" w:cs="Arial"/>
          <w:color w:val="0066FF"/>
          <w:kern w:val="0"/>
          <w:lang w:eastAsia="en-GB"/>
          <w14:ligatures w14:val="none"/>
        </w:rPr>
        <w:t xml:space="preserve"> </w:t>
      </w:r>
      <w:r w:rsidR="003A3646">
        <w:rPr>
          <w:rFonts w:ascii="Arial" w:eastAsia="Times New Roman" w:hAnsi="Arial" w:cs="Arial"/>
          <w:color w:val="000000"/>
          <w:kern w:val="0"/>
          <w:lang w:eastAsia="en-GB"/>
          <w14:ligatures w14:val="none"/>
        </w:rPr>
        <w:t>(more references herein)</w:t>
      </w:r>
      <w:r w:rsidR="000B54AD">
        <w:rPr>
          <w:rFonts w:ascii="Arial" w:eastAsia="Times New Roman" w:hAnsi="Arial" w:cs="Arial"/>
          <w:color w:val="000000"/>
          <w:kern w:val="0"/>
          <w:lang w:eastAsia="en-GB"/>
          <w14:ligatures w14:val="none"/>
        </w:rPr>
        <w:t xml:space="preserve"> </w:t>
      </w:r>
      <w:r w:rsidR="000B54AD" w:rsidRPr="001E07CC">
        <w:rPr>
          <w:rFonts w:ascii="Arial" w:eastAsia="Times New Roman" w:hAnsi="Arial" w:cs="Arial"/>
          <w:color w:val="000000"/>
          <w:kern w:val="0"/>
          <w:lang w:eastAsia="en-GB"/>
          <w14:ligatures w14:val="none"/>
        </w:rPr>
        <w:t>have</w:t>
      </w:r>
      <w:r w:rsidRPr="001E07CC">
        <w:rPr>
          <w:rFonts w:ascii="Arial" w:eastAsia="Times New Roman" w:hAnsi="Arial" w:cs="Arial"/>
          <w:color w:val="000000"/>
          <w:kern w:val="0"/>
          <w:lang w:eastAsia="en-GB"/>
          <w14:ligatures w14:val="none"/>
        </w:rPr>
        <w:t xml:space="preserve"> highlighted how and why the current NRSA stipend rates are unsustainable for postdocs in high cost-of-living areas such as Boston, New York City, San Diego, San Francisco, Los Angeles, Seattle etc. In our recently published article (</w:t>
      </w:r>
      <w:r w:rsidRPr="001E07CC">
        <w:rPr>
          <w:rFonts w:ascii="Arial" w:eastAsia="Times New Roman" w:hAnsi="Arial" w:cs="Arial"/>
          <w:b/>
          <w:bCs/>
          <w:color w:val="000000"/>
          <w:kern w:val="0"/>
          <w:lang w:eastAsia="en-GB"/>
          <w14:ligatures w14:val="none"/>
        </w:rPr>
        <w:t>already submitted to Tara A. Schwetz, Acting Principal Deputy Director, NIH</w:t>
      </w:r>
      <w:r w:rsidRPr="001E07CC">
        <w:rPr>
          <w:rFonts w:ascii="Arial" w:eastAsia="Times New Roman" w:hAnsi="Arial" w:cs="Arial"/>
          <w:color w:val="000000"/>
          <w:kern w:val="0"/>
          <w:lang w:eastAsia="en-GB"/>
          <w14:ligatures w14:val="none"/>
        </w:rPr>
        <w:t>), we argue that such an unsustainable living burden on highly skilled researchers with negligible job security creates a selection pressure on postdocs, especially with families, dependents, and those who are from historically marginalised backgrounds.</w:t>
      </w:r>
      <w:r w:rsidR="000B54AD">
        <w:rPr>
          <w:rFonts w:ascii="Arial" w:eastAsia="Times New Roman" w:hAnsi="Arial" w:cs="Arial"/>
          <w:color w:val="000000"/>
          <w:kern w:val="0"/>
          <w:lang w:eastAsia="en-GB"/>
          <w14:ligatures w14:val="none"/>
        </w:rPr>
        <w:t xml:space="preserve"> </w:t>
      </w:r>
      <w:hyperlink r:id="rId19" w:anchor="tabs-2" w:history="1">
        <w:r w:rsidRPr="001E07CC">
          <w:rPr>
            <w:rFonts w:ascii="Arial" w:eastAsia="Times New Roman" w:hAnsi="Arial" w:cs="Arial"/>
            <w:i/>
            <w:iCs/>
            <w:color w:val="1155CC"/>
            <w:kern w:val="0"/>
            <w:u w:val="single"/>
            <w:lang w:eastAsia="en-GB"/>
            <w14:ligatures w14:val="none"/>
          </w:rPr>
          <w:t>Given the diversity, equity, and inclusion goals of the NIH and academic institutions in the US, there is a misalignment with an actionable commitment to reform structural policies that impact postdoc representation.</w:t>
        </w:r>
      </w:hyperlink>
      <w:r w:rsidRPr="001E07CC">
        <w:rPr>
          <w:rFonts w:ascii="Arial" w:eastAsia="Times New Roman" w:hAnsi="Arial" w:cs="Arial"/>
          <w:i/>
          <w:iCs/>
          <w:color w:val="000000"/>
          <w:kern w:val="0"/>
          <w:lang w:eastAsia="en-GB"/>
          <w14:ligatures w14:val="none"/>
        </w:rPr>
        <w:t xml:space="preserve"> We argue inadequate compensation is creating a driving force/brain-drain for highly skilled researchers transitioning to the industry where they are compensated for their value. </w:t>
      </w:r>
    </w:p>
    <w:p w14:paraId="7C890593" w14:textId="49932B5C" w:rsidR="001E07CC" w:rsidRPr="001E07CC" w:rsidRDefault="001E07CC" w:rsidP="001E07CC">
      <w:pPr>
        <w:spacing w:after="0" w:line="240" w:lineRule="auto"/>
        <w:ind w:left="720"/>
        <w:jc w:val="both"/>
        <w:rPr>
          <w:rFonts w:ascii="Times New Roman" w:eastAsia="Times New Roman" w:hAnsi="Times New Roman" w:cs="Times New Roman"/>
          <w:kern w:val="0"/>
          <w:sz w:val="24"/>
          <w:szCs w:val="24"/>
          <w:lang w:eastAsia="en-GB"/>
          <w14:ligatures w14:val="none"/>
        </w:rPr>
      </w:pPr>
    </w:p>
    <w:p w14:paraId="2FA7DB01" w14:textId="77777777" w:rsidR="001E07CC" w:rsidRPr="001E07CC" w:rsidRDefault="001E07CC" w:rsidP="001E07CC">
      <w:pPr>
        <w:numPr>
          <w:ilvl w:val="0"/>
          <w:numId w:val="3"/>
        </w:numPr>
        <w:spacing w:after="0" w:line="240" w:lineRule="auto"/>
        <w:textAlignment w:val="baseline"/>
        <w:rPr>
          <w:rFonts w:ascii="Arial" w:eastAsia="Times New Roman" w:hAnsi="Arial" w:cs="Arial"/>
          <w:b/>
          <w:bCs/>
          <w:color w:val="000000"/>
          <w:kern w:val="0"/>
          <w:lang w:eastAsia="en-GB"/>
          <w14:ligatures w14:val="none"/>
        </w:rPr>
      </w:pPr>
      <w:r w:rsidRPr="001E07CC">
        <w:rPr>
          <w:rFonts w:ascii="Arial" w:eastAsia="Times New Roman" w:hAnsi="Arial" w:cs="Arial"/>
          <w:b/>
          <w:bCs/>
          <w:color w:val="000000"/>
          <w:kern w:val="0"/>
          <w:lang w:eastAsia="en-GB"/>
          <w14:ligatures w14:val="none"/>
        </w:rPr>
        <w:t xml:space="preserve">Differential compensation of intramural and extramural postdocs is not inclusive </w:t>
      </w:r>
      <w:proofErr w:type="gramStart"/>
      <w:r w:rsidRPr="001E07CC">
        <w:rPr>
          <w:rFonts w:ascii="Arial" w:eastAsia="Times New Roman" w:hAnsi="Arial" w:cs="Arial"/>
          <w:b/>
          <w:bCs/>
          <w:color w:val="000000"/>
          <w:kern w:val="0"/>
          <w:lang w:eastAsia="en-GB"/>
          <w14:ligatures w14:val="none"/>
        </w:rPr>
        <w:t>excellence</w:t>
      </w:r>
      <w:proofErr w:type="gramEnd"/>
    </w:p>
    <w:p w14:paraId="55897FEA" w14:textId="72BE6659" w:rsidR="001E07CC" w:rsidRPr="001E07CC" w:rsidRDefault="001E07CC" w:rsidP="001E07CC">
      <w:pPr>
        <w:spacing w:after="0" w:line="240" w:lineRule="auto"/>
        <w:ind w:left="72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The NRSA postdoc stipend scales (</w:t>
      </w:r>
      <w:r w:rsidRPr="001E07CC">
        <w:rPr>
          <w:rFonts w:ascii="Arial" w:eastAsia="Times New Roman" w:hAnsi="Arial" w:cs="Arial"/>
          <w:b/>
          <w:bCs/>
          <w:color w:val="000000"/>
          <w:kern w:val="0"/>
          <w:lang w:eastAsia="en-GB"/>
          <w14:ligatures w14:val="none"/>
        </w:rPr>
        <w:t>$56,484 - 68,604 for 2023-24</w:t>
      </w:r>
      <w:r w:rsidRPr="001E07CC">
        <w:rPr>
          <w:rFonts w:ascii="Arial" w:eastAsia="Times New Roman" w:hAnsi="Arial" w:cs="Arial"/>
          <w:color w:val="000000"/>
          <w:kern w:val="0"/>
          <w:lang w:eastAsia="en-GB"/>
          <w14:ligatures w14:val="none"/>
        </w:rPr>
        <w:t xml:space="preserve">) are significantly lower than stipend levels for </w:t>
      </w:r>
      <w:hyperlink r:id="rId20" w:history="1">
        <w:r w:rsidRPr="001E07CC">
          <w:rPr>
            <w:rFonts w:ascii="Arial" w:eastAsia="Times New Roman" w:hAnsi="Arial" w:cs="Arial"/>
            <w:color w:val="1155CC"/>
            <w:kern w:val="0"/>
            <w:u w:val="single"/>
            <w:lang w:eastAsia="en-GB"/>
            <w14:ligatures w14:val="none"/>
          </w:rPr>
          <w:t>intramural postdocs</w:t>
        </w:r>
      </w:hyperlink>
      <w:r w:rsidRPr="001E07CC">
        <w:rPr>
          <w:rFonts w:ascii="Arial" w:eastAsia="Times New Roman" w:hAnsi="Arial" w:cs="Arial"/>
          <w:color w:val="000000"/>
          <w:kern w:val="0"/>
          <w:lang w:eastAsia="en-GB"/>
          <w14:ligatures w14:val="none"/>
        </w:rPr>
        <w:t xml:space="preserve"> and visiting fellows (</w:t>
      </w:r>
      <w:r w:rsidRPr="001E07CC">
        <w:rPr>
          <w:rFonts w:ascii="Arial" w:eastAsia="Times New Roman" w:hAnsi="Arial" w:cs="Arial"/>
          <w:b/>
          <w:bCs/>
          <w:color w:val="000000"/>
          <w:kern w:val="0"/>
          <w:lang w:eastAsia="en-GB"/>
          <w14:ligatures w14:val="none"/>
        </w:rPr>
        <w:t>$57,400 - $105,750</w:t>
      </w:r>
      <w:r w:rsidRPr="001E07CC">
        <w:rPr>
          <w:rFonts w:ascii="Arial" w:eastAsia="Times New Roman" w:hAnsi="Arial" w:cs="Arial"/>
          <w:color w:val="000000"/>
          <w:kern w:val="0"/>
          <w:lang w:eastAsia="en-GB"/>
          <w14:ligatures w14:val="none"/>
        </w:rPr>
        <w:t xml:space="preserve">). Intramural postdocs are rewarded significantly more (~50%) with experience compared to extramural postdocs. Data collected by Gary McDowell suggest that the highest salary for an intramural postdoc in 2020 was </w:t>
      </w:r>
      <w:r w:rsidRPr="001E07CC">
        <w:rPr>
          <w:rFonts w:ascii="Arial" w:eastAsia="Times New Roman" w:hAnsi="Arial" w:cs="Arial"/>
          <w:b/>
          <w:bCs/>
          <w:color w:val="000000"/>
          <w:kern w:val="0"/>
          <w:lang w:eastAsia="en-GB"/>
          <w14:ligatures w14:val="none"/>
        </w:rPr>
        <w:t>$108,932</w:t>
      </w:r>
      <w:r w:rsidRPr="001E07CC">
        <w:rPr>
          <w:rFonts w:ascii="Arial" w:eastAsia="Times New Roman" w:hAnsi="Arial" w:cs="Arial"/>
          <w:color w:val="000000"/>
          <w:kern w:val="0"/>
          <w:lang w:eastAsia="en-GB"/>
          <w14:ligatures w14:val="none"/>
        </w:rPr>
        <w:t>. Such structurally different compensation policies do not reflect NIH’s goals of inclusive excellence.</w:t>
      </w:r>
    </w:p>
    <w:p w14:paraId="16FD29F3" w14:textId="52FB95F1"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p>
    <w:p w14:paraId="093EFF03" w14:textId="77777777" w:rsidR="001E07CC" w:rsidRPr="001E07CC" w:rsidRDefault="001E07CC" w:rsidP="001E07CC">
      <w:pPr>
        <w:numPr>
          <w:ilvl w:val="0"/>
          <w:numId w:val="4"/>
        </w:numPr>
        <w:spacing w:after="0" w:line="240" w:lineRule="auto"/>
        <w:textAlignment w:val="baseline"/>
        <w:rPr>
          <w:rFonts w:ascii="Arial" w:eastAsia="Times New Roman" w:hAnsi="Arial" w:cs="Arial"/>
          <w:b/>
          <w:bCs/>
          <w:color w:val="000000"/>
          <w:kern w:val="0"/>
          <w:lang w:eastAsia="en-GB"/>
          <w14:ligatures w14:val="none"/>
        </w:rPr>
      </w:pPr>
      <w:r w:rsidRPr="001E07CC">
        <w:rPr>
          <w:rFonts w:ascii="Arial" w:eastAsia="Times New Roman" w:hAnsi="Arial" w:cs="Arial"/>
          <w:b/>
          <w:bCs/>
          <w:color w:val="000000"/>
          <w:kern w:val="0"/>
          <w:lang w:eastAsia="en-GB"/>
          <w14:ligatures w14:val="none"/>
        </w:rPr>
        <w:t xml:space="preserve">Lack of accountability creates a toxic and unsustainable </w:t>
      </w:r>
      <w:proofErr w:type="gramStart"/>
      <w:r w:rsidRPr="001E07CC">
        <w:rPr>
          <w:rFonts w:ascii="Arial" w:eastAsia="Times New Roman" w:hAnsi="Arial" w:cs="Arial"/>
          <w:b/>
          <w:bCs/>
          <w:color w:val="000000"/>
          <w:kern w:val="0"/>
          <w:lang w:eastAsia="en-GB"/>
          <w14:ligatures w14:val="none"/>
        </w:rPr>
        <w:t>ecosystem</w:t>
      </w:r>
      <w:proofErr w:type="gramEnd"/>
    </w:p>
    <w:p w14:paraId="669484E0" w14:textId="1877DE8E" w:rsidR="001E07CC" w:rsidRDefault="001E07CC" w:rsidP="001E07CC">
      <w:pPr>
        <w:spacing w:after="0" w:line="240" w:lineRule="auto"/>
        <w:ind w:left="72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 xml:space="preserve">Innumerable reports highlight </w:t>
      </w:r>
      <w:hyperlink r:id="rId21" w:history="1">
        <w:r w:rsidRPr="001E07CC">
          <w:rPr>
            <w:rFonts w:ascii="Arial" w:eastAsia="Times New Roman" w:hAnsi="Arial" w:cs="Arial"/>
            <w:color w:val="1155CC"/>
            <w:kern w:val="0"/>
            <w:u w:val="single"/>
            <w:lang w:eastAsia="en-GB"/>
            <w14:ligatures w14:val="none"/>
          </w:rPr>
          <w:t>systemic bias</w:t>
        </w:r>
      </w:hyperlink>
      <w:r w:rsidRPr="001E07CC">
        <w:rPr>
          <w:rFonts w:ascii="Arial" w:eastAsia="Times New Roman" w:hAnsi="Arial" w:cs="Arial"/>
          <w:color w:val="000000"/>
          <w:kern w:val="0"/>
          <w:lang w:eastAsia="en-GB"/>
          <w14:ligatures w14:val="none"/>
        </w:rPr>
        <w:t xml:space="preserve"> and </w:t>
      </w:r>
      <w:hyperlink r:id="rId22" w:history="1">
        <w:r w:rsidRPr="001E07CC">
          <w:rPr>
            <w:rFonts w:ascii="Arial" w:eastAsia="Times New Roman" w:hAnsi="Arial" w:cs="Arial"/>
            <w:color w:val="1155CC"/>
            <w:kern w:val="0"/>
            <w:u w:val="single"/>
            <w:lang w:eastAsia="en-GB"/>
            <w14:ligatures w14:val="none"/>
          </w:rPr>
          <w:t>toxic workplace</w:t>
        </w:r>
      </w:hyperlink>
      <w:r w:rsidRPr="001E07CC">
        <w:rPr>
          <w:rFonts w:ascii="Arial" w:eastAsia="Times New Roman" w:hAnsi="Arial" w:cs="Arial"/>
          <w:color w:val="000000"/>
          <w:kern w:val="0"/>
          <w:lang w:eastAsia="en-GB"/>
          <w14:ligatures w14:val="none"/>
        </w:rPr>
        <w:t xml:space="preserve"> environments (</w:t>
      </w:r>
      <w:r w:rsidRPr="001E07CC">
        <w:rPr>
          <w:rFonts w:ascii="Arial" w:eastAsia="Times New Roman" w:hAnsi="Arial" w:cs="Arial"/>
          <w:i/>
          <w:iCs/>
          <w:color w:val="000000"/>
          <w:kern w:val="0"/>
          <w:lang w:eastAsia="en-GB"/>
          <w14:ligatures w14:val="none"/>
        </w:rPr>
        <w:t>constituted by bullying, harassment, discrimination, aggression, and manipulation</w:t>
      </w:r>
      <w:r w:rsidRPr="001E07CC">
        <w:rPr>
          <w:rFonts w:ascii="Arial" w:eastAsia="Times New Roman" w:hAnsi="Arial" w:cs="Arial"/>
          <w:color w:val="000000"/>
          <w:kern w:val="0"/>
          <w:lang w:eastAsia="en-GB"/>
          <w14:ligatures w14:val="none"/>
        </w:rPr>
        <w:t xml:space="preserve">) that disenchant </w:t>
      </w:r>
      <w:r w:rsidR="00984C82">
        <w:rPr>
          <w:rFonts w:ascii="Arial" w:eastAsia="Times New Roman" w:hAnsi="Arial" w:cs="Arial"/>
          <w:color w:val="000000"/>
          <w:kern w:val="0"/>
          <w:lang w:eastAsia="en-GB"/>
          <w14:ligatures w14:val="none"/>
        </w:rPr>
        <w:t xml:space="preserve">the </w:t>
      </w:r>
      <w:r w:rsidRPr="001E07CC">
        <w:rPr>
          <w:rFonts w:ascii="Arial" w:eastAsia="Times New Roman" w:hAnsi="Arial" w:cs="Arial"/>
          <w:color w:val="000000"/>
          <w:kern w:val="0"/>
          <w:lang w:eastAsia="en-GB"/>
          <w14:ligatures w14:val="none"/>
        </w:rPr>
        <w:t xml:space="preserve">postdoc experience and harm </w:t>
      </w:r>
      <w:r w:rsidR="00984C82">
        <w:rPr>
          <w:rFonts w:ascii="Arial" w:eastAsia="Times New Roman" w:hAnsi="Arial" w:cs="Arial"/>
          <w:color w:val="000000"/>
          <w:kern w:val="0"/>
          <w:lang w:eastAsia="en-GB"/>
          <w14:ligatures w14:val="none"/>
        </w:rPr>
        <w:t>postdocs’</w:t>
      </w:r>
      <w:r w:rsidRPr="001E07CC">
        <w:rPr>
          <w:rFonts w:ascii="Arial" w:eastAsia="Times New Roman" w:hAnsi="Arial" w:cs="Arial"/>
          <w:color w:val="000000"/>
          <w:kern w:val="0"/>
          <w:lang w:eastAsia="en-GB"/>
          <w14:ligatures w14:val="none"/>
        </w:rPr>
        <w:t xml:space="preserve"> mental wellbeing. Studies suggest postdocs with intersectional and marginalised identities and on visas are especially prone to mistreatment. In addition, institutions may ‘</w:t>
      </w:r>
      <w:hyperlink r:id="rId23" w:history="1">
        <w:r w:rsidRPr="001E07CC">
          <w:rPr>
            <w:rFonts w:ascii="Arial" w:eastAsia="Times New Roman" w:hAnsi="Arial" w:cs="Arial"/>
            <w:color w:val="1155CC"/>
            <w:kern w:val="0"/>
            <w:u w:val="single"/>
            <w:lang w:eastAsia="en-GB"/>
            <w14:ligatures w14:val="none"/>
          </w:rPr>
          <w:t>Minority Tax</w:t>
        </w:r>
      </w:hyperlink>
      <w:r w:rsidRPr="001E07CC">
        <w:rPr>
          <w:rFonts w:ascii="Arial" w:eastAsia="Times New Roman" w:hAnsi="Arial" w:cs="Arial"/>
          <w:color w:val="000000"/>
          <w:kern w:val="0"/>
          <w:lang w:eastAsia="en-GB"/>
          <w14:ligatures w14:val="none"/>
        </w:rPr>
        <w:t>’ these postdocs. While institutions and the NIH have taken measures recently by setting up secure communication channels, opaque policies for holding PIs and institutions accountable remain a major challenge that NIH must address.</w:t>
      </w:r>
    </w:p>
    <w:p w14:paraId="34C365B9" w14:textId="77777777" w:rsidR="001E07CC" w:rsidRPr="001E07CC" w:rsidRDefault="001E07CC" w:rsidP="001E07CC">
      <w:pPr>
        <w:spacing w:after="0" w:line="240" w:lineRule="auto"/>
        <w:ind w:left="720"/>
        <w:jc w:val="both"/>
        <w:rPr>
          <w:rFonts w:ascii="Times New Roman" w:eastAsia="Times New Roman" w:hAnsi="Times New Roman" w:cs="Times New Roman"/>
          <w:kern w:val="0"/>
          <w:sz w:val="24"/>
          <w:szCs w:val="24"/>
          <w:lang w:eastAsia="en-GB"/>
          <w14:ligatures w14:val="none"/>
        </w:rPr>
      </w:pPr>
    </w:p>
    <w:p w14:paraId="6ABA673B" w14:textId="77777777" w:rsidR="001E07CC" w:rsidRPr="001E07CC" w:rsidRDefault="001E07CC" w:rsidP="001E07CC">
      <w:pPr>
        <w:spacing w:after="0" w:line="240" w:lineRule="auto"/>
        <w:rPr>
          <w:rFonts w:ascii="Times New Roman" w:eastAsia="Times New Roman" w:hAnsi="Times New Roman" w:cs="Times New Roman"/>
          <w:i/>
          <w:iCs/>
          <w:kern w:val="0"/>
          <w:sz w:val="24"/>
          <w:szCs w:val="24"/>
          <w:lang w:eastAsia="en-GB"/>
          <w14:ligatures w14:val="none"/>
        </w:rPr>
      </w:pPr>
      <w:r w:rsidRPr="001E07CC">
        <w:rPr>
          <w:rFonts w:ascii="Arial" w:eastAsia="Times New Roman" w:hAnsi="Arial" w:cs="Arial"/>
          <w:i/>
          <w:iCs/>
          <w:color w:val="000000"/>
          <w:kern w:val="0"/>
          <w:lang w:eastAsia="en-GB"/>
          <w14:ligatures w14:val="none"/>
        </w:rPr>
        <w:t xml:space="preserve">Suggested solutions to aforementioned </w:t>
      </w:r>
      <w:proofErr w:type="gramStart"/>
      <w:r w:rsidRPr="001E07CC">
        <w:rPr>
          <w:rFonts w:ascii="Arial" w:eastAsia="Times New Roman" w:hAnsi="Arial" w:cs="Arial"/>
          <w:i/>
          <w:iCs/>
          <w:color w:val="000000"/>
          <w:kern w:val="0"/>
          <w:lang w:eastAsia="en-GB"/>
          <w14:ligatures w14:val="none"/>
        </w:rPr>
        <w:t>problems</w:t>
      </w:r>
      <w:proofErr w:type="gramEnd"/>
    </w:p>
    <w:p w14:paraId="0C1724D1" w14:textId="18B4183E"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p>
    <w:p w14:paraId="6EEC2C5B" w14:textId="76CE5256" w:rsidR="001E07CC" w:rsidRPr="000B54AD" w:rsidRDefault="001E07CC" w:rsidP="000B54AD">
      <w:pPr>
        <w:pStyle w:val="ListParagraph"/>
        <w:numPr>
          <w:ilvl w:val="0"/>
          <w:numId w:val="17"/>
        </w:numPr>
        <w:spacing w:after="0" w:line="240" w:lineRule="auto"/>
        <w:jc w:val="both"/>
        <w:textAlignment w:val="baseline"/>
        <w:rPr>
          <w:rFonts w:ascii="Arial" w:eastAsia="Times New Roman" w:hAnsi="Arial" w:cs="Arial"/>
          <w:b/>
          <w:bCs/>
          <w:color w:val="000000"/>
          <w:kern w:val="0"/>
          <w:lang w:eastAsia="en-GB"/>
          <w14:ligatures w14:val="none"/>
        </w:rPr>
      </w:pPr>
      <w:r w:rsidRPr="000B54AD">
        <w:rPr>
          <w:rFonts w:ascii="Arial" w:eastAsia="Times New Roman" w:hAnsi="Arial" w:cs="Arial"/>
          <w:b/>
          <w:bCs/>
          <w:color w:val="000000"/>
          <w:kern w:val="0"/>
          <w:lang w:eastAsia="en-GB"/>
          <w14:ligatures w14:val="none"/>
        </w:rPr>
        <w:t>Unifying and compensating all US postdocs equitably under one appointment title </w:t>
      </w:r>
    </w:p>
    <w:p w14:paraId="2E653029" w14:textId="77777777" w:rsidR="001E07CC" w:rsidRPr="001E07CC" w:rsidRDefault="001E07CC" w:rsidP="000B54AD">
      <w:pPr>
        <w:spacing w:after="0" w:line="240" w:lineRule="auto"/>
        <w:ind w:left="72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We urge the NIH to take a leading stance and remove the exploitative title of ‘trainees’ for postdocs. The NIH should renounce other postdoc titles of fellows, scholars, instructors, staff, etc. We strongly recommend that the NIH use the term ‘</w:t>
      </w:r>
      <w:r w:rsidRPr="001E07CC">
        <w:rPr>
          <w:rFonts w:ascii="Arial" w:eastAsia="Times New Roman" w:hAnsi="Arial" w:cs="Arial"/>
          <w:b/>
          <w:bCs/>
          <w:color w:val="000000"/>
          <w:kern w:val="0"/>
          <w:lang w:eastAsia="en-GB"/>
          <w14:ligatures w14:val="none"/>
        </w:rPr>
        <w:t>Postdoctoral Appointment</w:t>
      </w:r>
      <w:r w:rsidRPr="001E07CC">
        <w:rPr>
          <w:rFonts w:ascii="Arial" w:eastAsia="Times New Roman" w:hAnsi="Arial" w:cs="Arial"/>
          <w:color w:val="000000"/>
          <w:kern w:val="0"/>
          <w:lang w:eastAsia="en-GB"/>
          <w14:ligatures w14:val="none"/>
        </w:rPr>
        <w:t>’, which emphasises an employee position guaranteeing equal benefits as other employees of the hiring institutions. </w:t>
      </w:r>
    </w:p>
    <w:p w14:paraId="7AF555DB" w14:textId="77777777"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p>
    <w:p w14:paraId="30EB9EE8" w14:textId="5E45A2D2" w:rsidR="001E07CC" w:rsidRPr="001E07CC" w:rsidRDefault="001E07CC" w:rsidP="001E07CC">
      <w:pPr>
        <w:spacing w:after="0" w:line="240" w:lineRule="auto"/>
        <w:ind w:left="72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 xml:space="preserve">We also urge the NIH to make </w:t>
      </w:r>
      <w:r w:rsidRPr="001E07CC">
        <w:rPr>
          <w:rFonts w:ascii="Arial" w:eastAsia="Times New Roman" w:hAnsi="Arial" w:cs="Arial"/>
          <w:i/>
          <w:iCs/>
          <w:color w:val="000000"/>
          <w:kern w:val="0"/>
          <w:lang w:eastAsia="en-GB"/>
          <w14:ligatures w14:val="none"/>
        </w:rPr>
        <w:t>the same</w:t>
      </w:r>
      <w:r w:rsidRPr="001E07CC">
        <w:rPr>
          <w:rFonts w:ascii="Arial" w:eastAsia="Times New Roman" w:hAnsi="Arial" w:cs="Arial"/>
          <w:color w:val="000000"/>
          <w:kern w:val="0"/>
          <w:lang w:eastAsia="en-GB"/>
          <w14:ligatures w14:val="none"/>
        </w:rPr>
        <w:t xml:space="preserve"> </w:t>
      </w:r>
      <w:r w:rsidRPr="001E07CC">
        <w:rPr>
          <w:rFonts w:ascii="Arial" w:eastAsia="Times New Roman" w:hAnsi="Arial" w:cs="Arial"/>
          <w:i/>
          <w:iCs/>
          <w:color w:val="000000"/>
          <w:kern w:val="0"/>
          <w:lang w:eastAsia="en-GB"/>
          <w14:ligatures w14:val="none"/>
        </w:rPr>
        <w:t xml:space="preserve">intramural and extramural postdoc appointments </w:t>
      </w:r>
      <w:r w:rsidRPr="001E07CC">
        <w:rPr>
          <w:rFonts w:ascii="Arial" w:eastAsia="Times New Roman" w:hAnsi="Arial" w:cs="Arial"/>
          <w:color w:val="000000"/>
          <w:kern w:val="0"/>
          <w:lang w:eastAsia="en-GB"/>
          <w14:ligatures w14:val="none"/>
        </w:rPr>
        <w:t xml:space="preserve">in all aspects of employee benefits and compensation. The postdoc salary and benefits must be compensated in accordance with the geographical cost-of-living and the US economy. </w:t>
      </w:r>
      <w:hyperlink r:id="rId24" w:history="1">
        <w:r w:rsidRPr="001E07CC">
          <w:rPr>
            <w:rFonts w:ascii="Arial" w:eastAsia="Times New Roman" w:hAnsi="Arial" w:cs="Arial"/>
            <w:color w:val="1155CC"/>
            <w:kern w:val="0"/>
            <w:u w:val="single"/>
            <w:lang w:eastAsia="en-GB"/>
            <w14:ligatures w14:val="none"/>
          </w:rPr>
          <w:t>In our recent publication</w:t>
        </w:r>
      </w:hyperlink>
      <w:r w:rsidRPr="001E07CC">
        <w:rPr>
          <w:rFonts w:ascii="Arial" w:eastAsia="Times New Roman" w:hAnsi="Arial" w:cs="Arial"/>
          <w:color w:val="000000"/>
          <w:kern w:val="0"/>
          <w:lang w:eastAsia="en-GB"/>
          <w14:ligatures w14:val="none"/>
        </w:rPr>
        <w:t xml:space="preserve">, we proposed a salary scale for postdocs in the Boston area upon living wage analysis, consistent with the current General Services </w:t>
      </w:r>
      <w:r w:rsidRPr="001E07CC">
        <w:rPr>
          <w:rFonts w:ascii="Arial" w:eastAsia="Times New Roman" w:hAnsi="Arial" w:cs="Arial"/>
          <w:b/>
          <w:bCs/>
          <w:color w:val="000000"/>
          <w:kern w:val="0"/>
          <w:lang w:eastAsia="en-GB"/>
          <w14:ligatures w14:val="none"/>
        </w:rPr>
        <w:t>(GS) Scale 11</w:t>
      </w:r>
      <w:r w:rsidRPr="001E07CC">
        <w:rPr>
          <w:rFonts w:ascii="Arial" w:eastAsia="Times New Roman" w:hAnsi="Arial" w:cs="Arial"/>
          <w:color w:val="000000"/>
          <w:kern w:val="0"/>
          <w:lang w:eastAsia="en-GB"/>
          <w14:ligatures w14:val="none"/>
        </w:rPr>
        <w:t xml:space="preserve">. The GS scale is used for federal employees and automatically considers regional and inflation adjustments. </w:t>
      </w:r>
      <w:r w:rsidRPr="001E07CC">
        <w:rPr>
          <w:rFonts w:ascii="Arial" w:eastAsia="Times New Roman" w:hAnsi="Arial" w:cs="Arial"/>
          <w:color w:val="000000"/>
          <w:kern w:val="0"/>
          <w:lang w:eastAsia="en-GB"/>
          <w14:ligatures w14:val="none"/>
        </w:rPr>
        <w:lastRenderedPageBreak/>
        <w:t xml:space="preserve">The </w:t>
      </w:r>
      <w:hyperlink r:id="rId25" w:history="1">
        <w:r w:rsidRPr="001E07CC">
          <w:rPr>
            <w:rFonts w:ascii="Arial" w:eastAsia="Times New Roman" w:hAnsi="Arial" w:cs="Arial"/>
            <w:color w:val="1155CC"/>
            <w:kern w:val="0"/>
            <w:u w:val="single"/>
            <w:lang w:eastAsia="en-GB"/>
            <w14:ligatures w14:val="none"/>
          </w:rPr>
          <w:t>NIH already has built-in adjustments for the GS scale</w:t>
        </w:r>
      </w:hyperlink>
      <w:r w:rsidRPr="001E07CC">
        <w:rPr>
          <w:rFonts w:ascii="Arial" w:eastAsia="Times New Roman" w:hAnsi="Arial" w:cs="Arial"/>
          <w:color w:val="000000"/>
          <w:kern w:val="0"/>
          <w:lang w:eastAsia="en-GB"/>
          <w14:ligatures w14:val="none"/>
        </w:rPr>
        <w:t xml:space="preserve"> as </w:t>
      </w:r>
      <w:r w:rsidRPr="001E07CC">
        <w:rPr>
          <w:rFonts w:ascii="Arial" w:eastAsia="Times New Roman" w:hAnsi="Arial" w:cs="Arial"/>
          <w:i/>
          <w:iCs/>
          <w:color w:val="000000"/>
          <w:kern w:val="0"/>
          <w:lang w:eastAsia="en-GB"/>
          <w14:ligatures w14:val="none"/>
        </w:rPr>
        <w:t>per diem</w:t>
      </w:r>
      <w:r w:rsidRPr="001E07CC">
        <w:rPr>
          <w:rFonts w:ascii="Arial" w:eastAsia="Times New Roman" w:hAnsi="Arial" w:cs="Arial"/>
          <w:color w:val="000000"/>
          <w:kern w:val="0"/>
          <w:lang w:eastAsia="en-GB"/>
          <w14:ligatures w14:val="none"/>
        </w:rPr>
        <w:t xml:space="preserve"> rates for conference or other work travel for investigators on NIH grants are calculated per the </w:t>
      </w:r>
      <w:hyperlink r:id="rId26" w:history="1">
        <w:r w:rsidRPr="001E07CC">
          <w:rPr>
            <w:rFonts w:ascii="Arial" w:eastAsia="Times New Roman" w:hAnsi="Arial" w:cs="Arial"/>
            <w:color w:val="1155CC"/>
            <w:kern w:val="0"/>
            <w:u w:val="single"/>
            <w:lang w:eastAsia="en-GB"/>
            <w14:ligatures w14:val="none"/>
          </w:rPr>
          <w:t>US General Services Administration</w:t>
        </w:r>
      </w:hyperlink>
      <w:r w:rsidRPr="001E07CC">
        <w:rPr>
          <w:rFonts w:ascii="Arial" w:eastAsia="Times New Roman" w:hAnsi="Arial" w:cs="Arial"/>
          <w:color w:val="000000"/>
          <w:kern w:val="0"/>
          <w:lang w:eastAsia="en-GB"/>
          <w14:ligatures w14:val="none"/>
        </w:rPr>
        <w:t xml:space="preserve">. We understand that implementing suggested increases in salaries and benefits policies may encounter logistical and financial issues and may reduce postdoc appointments in the country. We argue that a capped postdoctoral appointment may </w:t>
      </w:r>
      <w:r w:rsidR="00984C82">
        <w:rPr>
          <w:rFonts w:ascii="Arial" w:eastAsia="Times New Roman" w:hAnsi="Arial" w:cs="Arial"/>
          <w:color w:val="000000"/>
          <w:kern w:val="0"/>
          <w:lang w:eastAsia="en-GB"/>
          <w14:ligatures w14:val="none"/>
        </w:rPr>
        <w:t>improve the</w:t>
      </w:r>
      <w:r w:rsidRPr="001E07CC">
        <w:rPr>
          <w:rFonts w:ascii="Arial" w:eastAsia="Times New Roman" w:hAnsi="Arial" w:cs="Arial"/>
          <w:color w:val="000000"/>
          <w:kern w:val="0"/>
          <w:lang w:eastAsia="en-GB"/>
          <w14:ligatures w14:val="none"/>
        </w:rPr>
        <w:t xml:space="preserve"> quality</w:t>
      </w:r>
      <w:r w:rsidR="00984C82">
        <w:rPr>
          <w:rFonts w:ascii="Arial" w:eastAsia="Times New Roman" w:hAnsi="Arial" w:cs="Arial"/>
          <w:color w:val="000000"/>
          <w:kern w:val="0"/>
          <w:lang w:eastAsia="en-GB"/>
          <w14:ligatures w14:val="none"/>
        </w:rPr>
        <w:t xml:space="preserve"> of</w:t>
      </w:r>
      <w:r w:rsidRPr="001E07CC">
        <w:rPr>
          <w:rFonts w:ascii="Arial" w:eastAsia="Times New Roman" w:hAnsi="Arial" w:cs="Arial"/>
          <w:color w:val="000000"/>
          <w:kern w:val="0"/>
          <w:lang w:eastAsia="en-GB"/>
          <w14:ligatures w14:val="none"/>
        </w:rPr>
        <w:t xml:space="preserve"> postdoctoral experience</w:t>
      </w:r>
      <w:r w:rsidR="00984C82">
        <w:rPr>
          <w:rFonts w:ascii="Arial" w:eastAsia="Times New Roman" w:hAnsi="Arial" w:cs="Arial"/>
          <w:color w:val="000000"/>
          <w:kern w:val="0"/>
          <w:lang w:eastAsia="en-GB"/>
          <w14:ligatures w14:val="none"/>
        </w:rPr>
        <w:t xml:space="preserve"> and lead to</w:t>
      </w:r>
      <w:r w:rsidRPr="001E07CC">
        <w:rPr>
          <w:rFonts w:ascii="Arial" w:eastAsia="Times New Roman" w:hAnsi="Arial" w:cs="Arial"/>
          <w:color w:val="000000"/>
          <w:kern w:val="0"/>
          <w:lang w:eastAsia="en-GB"/>
          <w14:ligatures w14:val="none"/>
        </w:rPr>
        <w:t xml:space="preserve"> better job security and innovative science. The Janelia Research Campus of </w:t>
      </w:r>
      <w:r w:rsidR="00984C82">
        <w:rPr>
          <w:rFonts w:ascii="Arial" w:eastAsia="Times New Roman" w:hAnsi="Arial" w:cs="Arial"/>
          <w:color w:val="000000"/>
          <w:kern w:val="0"/>
          <w:lang w:eastAsia="en-GB"/>
          <w14:ligatures w14:val="none"/>
        </w:rPr>
        <w:t xml:space="preserve">the </w:t>
      </w:r>
      <w:r w:rsidRPr="001E07CC">
        <w:rPr>
          <w:rFonts w:ascii="Arial" w:eastAsia="Times New Roman" w:hAnsi="Arial" w:cs="Arial"/>
          <w:color w:val="000000"/>
          <w:kern w:val="0"/>
          <w:lang w:eastAsia="en-GB"/>
          <w14:ligatures w14:val="none"/>
        </w:rPr>
        <w:t>Howard Hughes Medical Institute (HHMI) is an exemplary and successful model with capping in the research teams. </w:t>
      </w:r>
    </w:p>
    <w:p w14:paraId="5A3BF6EE" w14:textId="77777777"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p>
    <w:p w14:paraId="497D01B2" w14:textId="77777777" w:rsidR="001E07CC" w:rsidRPr="001E07CC" w:rsidRDefault="001E07CC" w:rsidP="001E07CC">
      <w:pPr>
        <w:spacing w:after="0" w:line="240" w:lineRule="auto"/>
        <w:ind w:left="72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In summary, we propose a ‘</w:t>
      </w:r>
      <w:r w:rsidRPr="001E07CC">
        <w:rPr>
          <w:rFonts w:ascii="Arial" w:eastAsia="Times New Roman" w:hAnsi="Arial" w:cs="Arial"/>
          <w:b/>
          <w:bCs/>
          <w:color w:val="000000"/>
          <w:kern w:val="0"/>
          <w:lang w:eastAsia="en-GB"/>
          <w14:ligatures w14:val="none"/>
        </w:rPr>
        <w:t>compensation package</w:t>
      </w:r>
      <w:r w:rsidRPr="001E07CC">
        <w:rPr>
          <w:rFonts w:ascii="Arial" w:eastAsia="Times New Roman" w:hAnsi="Arial" w:cs="Arial"/>
          <w:color w:val="000000"/>
          <w:kern w:val="0"/>
          <w:lang w:eastAsia="en-GB"/>
          <w14:ligatures w14:val="none"/>
        </w:rPr>
        <w:t xml:space="preserve">’ for </w:t>
      </w:r>
      <w:r w:rsidRPr="001E07CC">
        <w:rPr>
          <w:rFonts w:ascii="Arial" w:eastAsia="Times New Roman" w:hAnsi="Arial" w:cs="Arial"/>
          <w:i/>
          <w:iCs/>
          <w:color w:val="000000"/>
          <w:kern w:val="0"/>
          <w:lang w:eastAsia="en-GB"/>
          <w14:ligatures w14:val="none"/>
        </w:rPr>
        <w:t>all postdoc appointees (NRSA, intramural and extramural without any bias towards marginalised identities or visa status</w:t>
      </w:r>
      <w:r w:rsidRPr="001E07CC">
        <w:rPr>
          <w:rFonts w:ascii="Arial" w:eastAsia="Times New Roman" w:hAnsi="Arial" w:cs="Arial"/>
          <w:color w:val="000000"/>
          <w:kern w:val="0"/>
          <w:lang w:eastAsia="en-GB"/>
          <w14:ligatures w14:val="none"/>
        </w:rPr>
        <w:t>) that includes:</w:t>
      </w:r>
    </w:p>
    <w:p w14:paraId="5BB6DF75" w14:textId="77777777" w:rsidR="001E07CC" w:rsidRPr="001E07CC" w:rsidRDefault="001E07CC" w:rsidP="001E07CC">
      <w:pPr>
        <w:numPr>
          <w:ilvl w:val="0"/>
          <w:numId w:val="6"/>
        </w:numPr>
        <w:spacing w:after="0" w:line="240" w:lineRule="auto"/>
        <w:ind w:left="1440"/>
        <w:jc w:val="both"/>
        <w:textAlignment w:val="baseline"/>
        <w:rPr>
          <w:rFonts w:ascii="Arial" w:eastAsia="Times New Roman" w:hAnsi="Arial" w:cs="Arial"/>
          <w:color w:val="000000"/>
          <w:kern w:val="0"/>
          <w:lang w:eastAsia="en-GB"/>
          <w14:ligatures w14:val="none"/>
        </w:rPr>
      </w:pPr>
      <w:r w:rsidRPr="001E07CC">
        <w:rPr>
          <w:rFonts w:ascii="Arial" w:eastAsia="Times New Roman" w:hAnsi="Arial" w:cs="Arial"/>
          <w:color w:val="000000"/>
          <w:kern w:val="0"/>
          <w:lang w:eastAsia="en-GB"/>
          <w14:ligatures w14:val="none"/>
        </w:rPr>
        <w:t>GS11 salaries </w:t>
      </w:r>
    </w:p>
    <w:p w14:paraId="11A76486" w14:textId="77777777" w:rsidR="001E07CC" w:rsidRPr="001E07CC" w:rsidRDefault="001E07CC" w:rsidP="001E07CC">
      <w:pPr>
        <w:numPr>
          <w:ilvl w:val="0"/>
          <w:numId w:val="6"/>
        </w:numPr>
        <w:spacing w:after="0" w:line="240" w:lineRule="auto"/>
        <w:ind w:left="1440"/>
        <w:jc w:val="both"/>
        <w:textAlignment w:val="baseline"/>
        <w:rPr>
          <w:rFonts w:ascii="Arial" w:eastAsia="Times New Roman" w:hAnsi="Arial" w:cs="Arial"/>
          <w:color w:val="000000"/>
          <w:kern w:val="0"/>
          <w:lang w:eastAsia="en-GB"/>
          <w14:ligatures w14:val="none"/>
        </w:rPr>
      </w:pPr>
      <w:r w:rsidRPr="001E07CC">
        <w:rPr>
          <w:rFonts w:ascii="Arial" w:eastAsia="Times New Roman" w:hAnsi="Arial" w:cs="Arial"/>
          <w:color w:val="000000"/>
          <w:kern w:val="0"/>
          <w:lang w:eastAsia="en-GB"/>
          <w14:ligatures w14:val="none"/>
        </w:rPr>
        <w:t>Institutional employee status </w:t>
      </w:r>
    </w:p>
    <w:p w14:paraId="5DC81410" w14:textId="77777777" w:rsidR="001E07CC" w:rsidRPr="001E07CC" w:rsidRDefault="001E07CC" w:rsidP="001E07CC">
      <w:pPr>
        <w:numPr>
          <w:ilvl w:val="0"/>
          <w:numId w:val="6"/>
        </w:numPr>
        <w:spacing w:after="0" w:line="240" w:lineRule="auto"/>
        <w:ind w:left="1440"/>
        <w:jc w:val="both"/>
        <w:textAlignment w:val="baseline"/>
        <w:rPr>
          <w:rFonts w:ascii="Arial" w:eastAsia="Times New Roman" w:hAnsi="Arial" w:cs="Arial"/>
          <w:color w:val="000000"/>
          <w:kern w:val="0"/>
          <w:lang w:eastAsia="en-GB"/>
          <w14:ligatures w14:val="none"/>
        </w:rPr>
      </w:pPr>
      <w:r w:rsidRPr="001E07CC">
        <w:rPr>
          <w:rFonts w:ascii="Arial" w:eastAsia="Times New Roman" w:hAnsi="Arial" w:cs="Arial"/>
          <w:color w:val="000000"/>
          <w:kern w:val="0"/>
          <w:lang w:eastAsia="en-GB"/>
          <w14:ligatures w14:val="none"/>
        </w:rPr>
        <w:t xml:space="preserve">Benefits package-GS11 </w:t>
      </w:r>
      <w:proofErr w:type="gramStart"/>
      <w:r w:rsidRPr="001E07CC">
        <w:rPr>
          <w:rFonts w:ascii="Arial" w:eastAsia="Times New Roman" w:hAnsi="Arial" w:cs="Arial"/>
          <w:color w:val="000000"/>
          <w:kern w:val="0"/>
          <w:lang w:eastAsia="en-GB"/>
          <w14:ligatures w14:val="none"/>
        </w:rPr>
        <w:t>adjusted</w:t>
      </w:r>
      <w:proofErr w:type="gramEnd"/>
      <w:r w:rsidRPr="001E07CC">
        <w:rPr>
          <w:rFonts w:ascii="Arial" w:eastAsia="Times New Roman" w:hAnsi="Arial" w:cs="Arial"/>
          <w:color w:val="000000"/>
          <w:kern w:val="0"/>
          <w:lang w:eastAsia="en-GB"/>
          <w14:ligatures w14:val="none"/>
        </w:rPr>
        <w:t>  </w:t>
      </w:r>
    </w:p>
    <w:p w14:paraId="5FB68A2B" w14:textId="77777777" w:rsidR="001E07CC" w:rsidRPr="001E07CC" w:rsidRDefault="001E07CC" w:rsidP="001E07CC">
      <w:pPr>
        <w:spacing w:after="0" w:line="240" w:lineRule="auto"/>
        <w:ind w:left="144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 xml:space="preserve">3.1 Healthcare, including </w:t>
      </w:r>
      <w:proofErr w:type="gramStart"/>
      <w:r w:rsidRPr="001E07CC">
        <w:rPr>
          <w:rFonts w:ascii="Arial" w:eastAsia="Times New Roman" w:hAnsi="Arial" w:cs="Arial"/>
          <w:color w:val="000000"/>
          <w:kern w:val="0"/>
          <w:lang w:eastAsia="en-GB"/>
          <w14:ligatures w14:val="none"/>
        </w:rPr>
        <w:t>dependents</w:t>
      </w:r>
      <w:proofErr w:type="gramEnd"/>
    </w:p>
    <w:p w14:paraId="78DF8416" w14:textId="77777777" w:rsidR="001E07CC" w:rsidRPr="001E07CC" w:rsidRDefault="001E07CC" w:rsidP="001E07CC">
      <w:pPr>
        <w:spacing w:after="0" w:line="240" w:lineRule="auto"/>
        <w:ind w:left="144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3.2 Childcare </w:t>
      </w:r>
    </w:p>
    <w:p w14:paraId="31DB327C" w14:textId="77777777" w:rsidR="001E07CC" w:rsidRPr="001E07CC" w:rsidRDefault="001E07CC" w:rsidP="001E07CC">
      <w:pPr>
        <w:spacing w:after="0" w:line="240" w:lineRule="auto"/>
        <w:ind w:left="144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3.3 Matched retirement</w:t>
      </w:r>
    </w:p>
    <w:p w14:paraId="412C8781" w14:textId="77777777" w:rsidR="001E07CC" w:rsidRPr="001E07CC" w:rsidRDefault="001E07CC" w:rsidP="001E07CC">
      <w:pPr>
        <w:spacing w:after="0" w:line="240" w:lineRule="auto"/>
        <w:ind w:left="144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3.4 Adoption assistance and IVF coverage</w:t>
      </w:r>
    </w:p>
    <w:p w14:paraId="64572C23" w14:textId="77777777" w:rsidR="001E07CC" w:rsidRPr="001E07CC" w:rsidRDefault="001E07CC" w:rsidP="001E07CC">
      <w:pPr>
        <w:spacing w:after="0" w:line="240" w:lineRule="auto"/>
        <w:ind w:left="144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3.5 Minimum 16 weeks of paid leave for childbirth and adoption</w:t>
      </w:r>
    </w:p>
    <w:p w14:paraId="7F453778" w14:textId="77777777" w:rsidR="001E07CC" w:rsidRPr="001E07CC" w:rsidRDefault="001E07CC" w:rsidP="001E07CC">
      <w:pPr>
        <w:spacing w:after="0" w:line="240" w:lineRule="auto"/>
        <w:ind w:left="144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3.6 Relocation costs</w:t>
      </w:r>
    </w:p>
    <w:p w14:paraId="1D6DE0FF" w14:textId="77777777" w:rsidR="001E07CC" w:rsidRPr="001E07CC" w:rsidRDefault="001E07CC" w:rsidP="001E07CC">
      <w:pPr>
        <w:spacing w:after="0" w:line="240" w:lineRule="auto"/>
        <w:ind w:left="144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3.7 Flexible spending account</w:t>
      </w:r>
    </w:p>
    <w:p w14:paraId="1B5D476B" w14:textId="77777777" w:rsidR="001E07CC" w:rsidRPr="001E07CC" w:rsidRDefault="001E07CC" w:rsidP="001E07CC">
      <w:pPr>
        <w:spacing w:after="0" w:line="240" w:lineRule="auto"/>
        <w:ind w:left="144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3.8 Minimum 3 weeks of annual leave </w:t>
      </w:r>
    </w:p>
    <w:p w14:paraId="648990DC" w14:textId="77777777"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p>
    <w:p w14:paraId="3C120EDE" w14:textId="3EDB1ACB" w:rsidR="001E07CC" w:rsidRPr="001E07CC" w:rsidRDefault="001E07CC" w:rsidP="000B54AD">
      <w:pPr>
        <w:spacing w:after="0" w:line="240" w:lineRule="auto"/>
        <w:ind w:left="72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One might defend and compare postdoc training to medical residency programs</w:t>
      </w:r>
      <w:r w:rsidR="000B54AD">
        <w:rPr>
          <w:rFonts w:ascii="Times New Roman" w:eastAsia="Times New Roman" w:hAnsi="Times New Roman" w:cs="Times New Roman"/>
          <w:kern w:val="0"/>
          <w:sz w:val="24"/>
          <w:szCs w:val="24"/>
          <w:lang w:eastAsia="en-GB"/>
          <w14:ligatures w14:val="none"/>
        </w:rPr>
        <w:t xml:space="preserve"> </w:t>
      </w:r>
      <w:r w:rsidRPr="001E07CC">
        <w:rPr>
          <w:rFonts w:ascii="Arial" w:eastAsia="Times New Roman" w:hAnsi="Arial" w:cs="Arial"/>
          <w:color w:val="000000"/>
          <w:kern w:val="0"/>
          <w:lang w:eastAsia="en-GB"/>
          <w14:ligatures w14:val="none"/>
        </w:rPr>
        <w:t>where compensation is similarly low, and trainees work hard for a few years to secure a job position. However, residency programs are capped and include intense training programs with job security and high compensation. On the other hand, postdocs struggle to secure a job in the hypercompetitive US academic market, where the assessment of candidates is also plagued with biased measures. </w:t>
      </w:r>
    </w:p>
    <w:p w14:paraId="1BD13218" w14:textId="77777777"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p>
    <w:p w14:paraId="437B7538" w14:textId="77777777" w:rsidR="001E07CC" w:rsidRPr="001E07CC" w:rsidRDefault="001E07CC" w:rsidP="001E07CC">
      <w:pPr>
        <w:spacing w:after="0" w:line="240" w:lineRule="auto"/>
        <w:ind w:left="72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While similar RFI, NASEM, and ACD recommendations have been made repeatedly, NIH has refrained from actionable changes. NIH must commit to valuing the scientific talent and skilled workforce that propel US science and innovation.    </w:t>
      </w:r>
    </w:p>
    <w:p w14:paraId="724CCF84" w14:textId="77777777"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p>
    <w:p w14:paraId="07C1E38F" w14:textId="72AD87E3" w:rsidR="001E07CC" w:rsidRPr="000B54AD" w:rsidRDefault="001E07CC" w:rsidP="000B54AD">
      <w:pPr>
        <w:pStyle w:val="ListParagraph"/>
        <w:numPr>
          <w:ilvl w:val="0"/>
          <w:numId w:val="17"/>
        </w:numPr>
        <w:spacing w:after="0" w:line="240" w:lineRule="auto"/>
        <w:jc w:val="both"/>
        <w:rPr>
          <w:rFonts w:ascii="Times New Roman" w:eastAsia="Times New Roman" w:hAnsi="Times New Roman" w:cs="Times New Roman"/>
          <w:kern w:val="0"/>
          <w:sz w:val="24"/>
          <w:szCs w:val="24"/>
          <w:lang w:eastAsia="en-GB"/>
          <w14:ligatures w14:val="none"/>
        </w:rPr>
      </w:pPr>
      <w:r w:rsidRPr="000B54AD">
        <w:rPr>
          <w:rFonts w:ascii="Arial" w:eastAsia="Times New Roman" w:hAnsi="Arial" w:cs="Arial"/>
          <w:b/>
          <w:bCs/>
          <w:color w:val="000000"/>
          <w:kern w:val="0"/>
          <w:lang w:eastAsia="en-GB"/>
          <w14:ligatures w14:val="none"/>
        </w:rPr>
        <w:t>Mandating actions and consequences for NIH-supported institutions </w:t>
      </w:r>
    </w:p>
    <w:p w14:paraId="344387F1" w14:textId="77777777"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p>
    <w:p w14:paraId="1DC2FBB9" w14:textId="77777777" w:rsidR="001E07CC" w:rsidRPr="001E07CC" w:rsidRDefault="001E07CC" w:rsidP="001E07CC">
      <w:pPr>
        <w:spacing w:after="0" w:line="240" w:lineRule="auto"/>
        <w:ind w:left="720"/>
        <w:jc w:val="both"/>
        <w:rPr>
          <w:rFonts w:ascii="Times New Roman" w:eastAsia="Times New Roman" w:hAnsi="Times New Roman" w:cs="Times New Roman"/>
          <w:kern w:val="0"/>
          <w:sz w:val="24"/>
          <w:szCs w:val="24"/>
          <w:lang w:eastAsia="en-GB"/>
          <w14:ligatures w14:val="none"/>
        </w:rPr>
      </w:pPr>
      <w:r w:rsidRPr="001E07CC">
        <w:rPr>
          <w:rFonts w:ascii="Arial" w:eastAsia="Times New Roman" w:hAnsi="Arial" w:cs="Arial"/>
          <w:color w:val="000000"/>
          <w:kern w:val="0"/>
          <w:lang w:eastAsia="en-GB"/>
          <w14:ligatures w14:val="none"/>
        </w:rPr>
        <w:t>While the NIH has made strides in the recent past by implementing workplace reporting mechanisms, institutional policies and power dynamics outweigh NIH actions–a key issue that plagues the US postdoc experience. We urge the NIH to:</w:t>
      </w:r>
    </w:p>
    <w:p w14:paraId="5C3FB382" w14:textId="6935DCF2" w:rsidR="001E07CC" w:rsidRPr="001E07CC" w:rsidRDefault="001E07CC" w:rsidP="001E07CC">
      <w:pPr>
        <w:spacing w:after="0" w:line="240" w:lineRule="auto"/>
        <w:rPr>
          <w:rFonts w:ascii="Times New Roman" w:eastAsia="Times New Roman" w:hAnsi="Times New Roman" w:cs="Times New Roman"/>
          <w:kern w:val="0"/>
          <w:sz w:val="24"/>
          <w:szCs w:val="24"/>
          <w:lang w:eastAsia="en-GB"/>
          <w14:ligatures w14:val="none"/>
        </w:rPr>
      </w:pPr>
    </w:p>
    <w:p w14:paraId="12D67120" w14:textId="5C0D031B" w:rsidR="001E07CC" w:rsidRPr="000B54AD" w:rsidRDefault="001E07CC" w:rsidP="000B54AD">
      <w:pPr>
        <w:pStyle w:val="ListParagraph"/>
        <w:numPr>
          <w:ilvl w:val="0"/>
          <w:numId w:val="16"/>
        </w:numPr>
        <w:spacing w:after="0" w:line="240" w:lineRule="auto"/>
        <w:jc w:val="both"/>
        <w:textAlignment w:val="baseline"/>
        <w:rPr>
          <w:rFonts w:ascii="Arial" w:eastAsia="Times New Roman" w:hAnsi="Arial" w:cs="Arial"/>
          <w:color w:val="000000"/>
          <w:kern w:val="0"/>
          <w:lang w:eastAsia="en-GB"/>
          <w14:ligatures w14:val="none"/>
        </w:rPr>
      </w:pPr>
      <w:r w:rsidRPr="000B54AD">
        <w:rPr>
          <w:rFonts w:ascii="Arial" w:eastAsia="Times New Roman" w:hAnsi="Arial" w:cs="Arial"/>
          <w:color w:val="000000"/>
          <w:kern w:val="0"/>
          <w:lang w:eastAsia="en-GB"/>
          <w14:ligatures w14:val="none"/>
        </w:rPr>
        <w:t xml:space="preserve">Establish secure paths for postdocs to report workplace behaviour and </w:t>
      </w:r>
      <w:proofErr w:type="gramStart"/>
      <w:r w:rsidRPr="000B54AD">
        <w:rPr>
          <w:rFonts w:ascii="Arial" w:eastAsia="Times New Roman" w:hAnsi="Arial" w:cs="Arial"/>
          <w:color w:val="000000"/>
          <w:kern w:val="0"/>
          <w:lang w:eastAsia="en-GB"/>
          <w14:ligatures w14:val="none"/>
        </w:rPr>
        <w:t>conduct</w:t>
      </w:r>
      <w:r w:rsidR="00984C82">
        <w:rPr>
          <w:rFonts w:ascii="Arial" w:eastAsia="Times New Roman" w:hAnsi="Arial" w:cs="Arial"/>
          <w:color w:val="000000"/>
          <w:kern w:val="0"/>
          <w:lang w:eastAsia="en-GB"/>
          <w14:ligatures w14:val="none"/>
        </w:rPr>
        <w:t>, and</w:t>
      </w:r>
      <w:proofErr w:type="gramEnd"/>
      <w:r w:rsidR="00984C82">
        <w:rPr>
          <w:rFonts w:ascii="Arial" w:eastAsia="Times New Roman" w:hAnsi="Arial" w:cs="Arial"/>
          <w:color w:val="000000"/>
          <w:kern w:val="0"/>
          <w:lang w:eastAsia="en-GB"/>
          <w14:ligatures w14:val="none"/>
        </w:rPr>
        <w:t xml:space="preserve"> </w:t>
      </w:r>
      <w:r w:rsidRPr="000B54AD">
        <w:rPr>
          <w:rFonts w:ascii="Arial" w:eastAsia="Times New Roman" w:hAnsi="Arial" w:cs="Arial"/>
          <w:color w:val="000000"/>
          <w:kern w:val="0"/>
          <w:lang w:eastAsia="en-GB"/>
          <w14:ligatures w14:val="none"/>
        </w:rPr>
        <w:t xml:space="preserve">ensure </w:t>
      </w:r>
      <w:r w:rsidR="00984C82">
        <w:rPr>
          <w:rFonts w:ascii="Arial" w:eastAsia="Times New Roman" w:hAnsi="Arial" w:cs="Arial"/>
          <w:color w:val="000000"/>
          <w:kern w:val="0"/>
          <w:lang w:eastAsia="en-GB"/>
          <w14:ligatures w14:val="none"/>
        </w:rPr>
        <w:t xml:space="preserve">that </w:t>
      </w:r>
      <w:r w:rsidRPr="000B54AD">
        <w:rPr>
          <w:rFonts w:ascii="Arial" w:eastAsia="Times New Roman" w:hAnsi="Arial" w:cs="Arial"/>
          <w:color w:val="000000"/>
          <w:kern w:val="0"/>
          <w:lang w:eastAsia="en-GB"/>
          <w14:ligatures w14:val="none"/>
        </w:rPr>
        <w:t>postdocs in NIH-funded academic institutions are aware of these reporting mechanisms using various communication platforms and during postdoc onboarding. </w:t>
      </w:r>
    </w:p>
    <w:p w14:paraId="1E094AE0" w14:textId="77777777" w:rsidR="000B54AD" w:rsidRDefault="000B54AD" w:rsidP="000B54AD">
      <w:pPr>
        <w:spacing w:after="0" w:line="240" w:lineRule="auto"/>
        <w:rPr>
          <w:rFonts w:ascii="Times New Roman" w:eastAsia="Times New Roman" w:hAnsi="Times New Roman" w:cs="Times New Roman"/>
          <w:kern w:val="0"/>
          <w:sz w:val="24"/>
          <w:szCs w:val="24"/>
          <w:lang w:eastAsia="en-GB"/>
          <w14:ligatures w14:val="none"/>
        </w:rPr>
      </w:pPr>
    </w:p>
    <w:p w14:paraId="61EAA75F" w14:textId="77777777" w:rsidR="000B54AD" w:rsidRPr="000B54AD" w:rsidRDefault="001E07CC" w:rsidP="000B54AD">
      <w:pPr>
        <w:pStyle w:val="ListParagraph"/>
        <w:numPr>
          <w:ilvl w:val="0"/>
          <w:numId w:val="16"/>
        </w:numPr>
        <w:spacing w:after="0" w:line="240" w:lineRule="auto"/>
        <w:rPr>
          <w:rFonts w:ascii="Times New Roman" w:eastAsia="Times New Roman" w:hAnsi="Times New Roman" w:cs="Times New Roman"/>
          <w:kern w:val="0"/>
          <w:sz w:val="24"/>
          <w:szCs w:val="24"/>
          <w:lang w:eastAsia="en-GB"/>
          <w14:ligatures w14:val="none"/>
        </w:rPr>
      </w:pPr>
      <w:r w:rsidRPr="000B54AD">
        <w:rPr>
          <w:rFonts w:ascii="Arial" w:eastAsia="Times New Roman" w:hAnsi="Arial" w:cs="Arial"/>
          <w:color w:val="000000"/>
          <w:kern w:val="0"/>
          <w:lang w:eastAsia="en-GB"/>
          <w14:ligatures w14:val="none"/>
        </w:rPr>
        <w:t>Conduct independently investigated annual climate surveys in NIH-funded labs and institutions to ensure responsible workplace behaviour, conduct, compensation, and postdocs’ wellbeing.</w:t>
      </w:r>
    </w:p>
    <w:p w14:paraId="0223C3AD" w14:textId="77777777" w:rsidR="000B54AD" w:rsidRPr="000B54AD" w:rsidRDefault="000B54AD" w:rsidP="000B54AD">
      <w:pPr>
        <w:pStyle w:val="ListParagraph"/>
        <w:rPr>
          <w:rFonts w:ascii="Arial" w:eastAsia="Times New Roman" w:hAnsi="Arial" w:cs="Arial"/>
          <w:color w:val="000000"/>
          <w:kern w:val="0"/>
          <w:lang w:eastAsia="en-GB"/>
          <w14:ligatures w14:val="none"/>
        </w:rPr>
      </w:pPr>
    </w:p>
    <w:p w14:paraId="440BBBC8" w14:textId="77777777" w:rsidR="000B54AD" w:rsidRPr="000B54AD" w:rsidRDefault="001E07CC" w:rsidP="000B54AD">
      <w:pPr>
        <w:pStyle w:val="ListParagraph"/>
        <w:numPr>
          <w:ilvl w:val="0"/>
          <w:numId w:val="16"/>
        </w:numPr>
        <w:spacing w:after="0" w:line="240" w:lineRule="auto"/>
        <w:rPr>
          <w:rFonts w:ascii="Times New Roman" w:eastAsia="Times New Roman" w:hAnsi="Times New Roman" w:cs="Times New Roman"/>
          <w:kern w:val="0"/>
          <w:sz w:val="24"/>
          <w:szCs w:val="24"/>
          <w:lang w:eastAsia="en-GB"/>
          <w14:ligatures w14:val="none"/>
        </w:rPr>
      </w:pPr>
      <w:r w:rsidRPr="000B54AD">
        <w:rPr>
          <w:rFonts w:ascii="Arial" w:eastAsia="Times New Roman" w:hAnsi="Arial" w:cs="Arial"/>
          <w:color w:val="000000"/>
          <w:kern w:val="0"/>
          <w:lang w:eastAsia="en-GB"/>
          <w14:ligatures w14:val="none"/>
        </w:rPr>
        <w:t>Ensure postdocs and PIs in NIH-funded institutions take annual/refresher courses on responsible workplace behaviour and conduct. </w:t>
      </w:r>
    </w:p>
    <w:p w14:paraId="112FAED7" w14:textId="77777777" w:rsidR="000B54AD" w:rsidRPr="000B54AD" w:rsidRDefault="000B54AD" w:rsidP="000B54AD">
      <w:pPr>
        <w:pStyle w:val="ListParagraph"/>
        <w:rPr>
          <w:rFonts w:ascii="Arial" w:eastAsia="Times New Roman" w:hAnsi="Arial" w:cs="Arial"/>
          <w:color w:val="000000"/>
          <w:kern w:val="0"/>
          <w:lang w:eastAsia="en-GB"/>
          <w14:ligatures w14:val="none"/>
        </w:rPr>
      </w:pPr>
    </w:p>
    <w:p w14:paraId="28BC983F" w14:textId="77777777" w:rsidR="000B54AD" w:rsidRPr="000B54AD" w:rsidRDefault="001E07CC" w:rsidP="000B54AD">
      <w:pPr>
        <w:pStyle w:val="ListParagraph"/>
        <w:numPr>
          <w:ilvl w:val="0"/>
          <w:numId w:val="16"/>
        </w:numPr>
        <w:spacing w:after="0" w:line="240" w:lineRule="auto"/>
        <w:rPr>
          <w:rFonts w:ascii="Times New Roman" w:eastAsia="Times New Roman" w:hAnsi="Times New Roman" w:cs="Times New Roman"/>
          <w:kern w:val="0"/>
          <w:sz w:val="24"/>
          <w:szCs w:val="24"/>
          <w:lang w:eastAsia="en-GB"/>
          <w14:ligatures w14:val="none"/>
        </w:rPr>
      </w:pPr>
      <w:r w:rsidRPr="000B54AD">
        <w:rPr>
          <w:rFonts w:ascii="Arial" w:eastAsia="Times New Roman" w:hAnsi="Arial" w:cs="Arial"/>
          <w:color w:val="000000"/>
          <w:kern w:val="0"/>
          <w:lang w:eastAsia="en-GB"/>
          <w14:ligatures w14:val="none"/>
        </w:rPr>
        <w:t>Annually update all postdocs, PIs, and institutions about any changes in the postdoc compensation packages. </w:t>
      </w:r>
    </w:p>
    <w:p w14:paraId="6629619B" w14:textId="77777777" w:rsidR="000B54AD" w:rsidRPr="000B54AD" w:rsidRDefault="000B54AD" w:rsidP="000B54AD">
      <w:pPr>
        <w:pStyle w:val="ListParagraph"/>
        <w:rPr>
          <w:rFonts w:ascii="Arial" w:eastAsia="Times New Roman" w:hAnsi="Arial" w:cs="Arial"/>
          <w:color w:val="000000"/>
          <w:kern w:val="0"/>
          <w:lang w:eastAsia="en-GB"/>
          <w14:ligatures w14:val="none"/>
        </w:rPr>
      </w:pPr>
    </w:p>
    <w:p w14:paraId="7AD82DE0" w14:textId="77777777" w:rsidR="000B54AD" w:rsidRPr="000B54AD" w:rsidRDefault="001E07CC" w:rsidP="000B54AD">
      <w:pPr>
        <w:pStyle w:val="ListParagraph"/>
        <w:numPr>
          <w:ilvl w:val="0"/>
          <w:numId w:val="16"/>
        </w:numPr>
        <w:spacing w:after="0" w:line="240" w:lineRule="auto"/>
        <w:rPr>
          <w:rFonts w:ascii="Times New Roman" w:eastAsia="Times New Roman" w:hAnsi="Times New Roman" w:cs="Times New Roman"/>
          <w:kern w:val="0"/>
          <w:sz w:val="24"/>
          <w:szCs w:val="24"/>
          <w:lang w:eastAsia="en-GB"/>
          <w14:ligatures w14:val="none"/>
        </w:rPr>
      </w:pPr>
      <w:r w:rsidRPr="000B54AD">
        <w:rPr>
          <w:rFonts w:ascii="Arial" w:eastAsia="Times New Roman" w:hAnsi="Arial" w:cs="Arial"/>
          <w:color w:val="000000"/>
          <w:kern w:val="0"/>
          <w:lang w:eastAsia="en-GB"/>
          <w14:ligatures w14:val="none"/>
        </w:rPr>
        <w:t>Hold the NIH-funded institutions accountable if PIs or labs (NIH funded or not) exhibit toxic workplace behaviour towards postdocs as defined in Problem D. </w:t>
      </w:r>
    </w:p>
    <w:p w14:paraId="5264F5E4" w14:textId="77777777" w:rsidR="000B54AD" w:rsidRPr="000B54AD" w:rsidRDefault="000B54AD" w:rsidP="000B54AD">
      <w:pPr>
        <w:pStyle w:val="ListParagraph"/>
        <w:rPr>
          <w:rFonts w:ascii="Arial" w:eastAsia="Times New Roman" w:hAnsi="Arial" w:cs="Arial"/>
          <w:color w:val="000000"/>
          <w:kern w:val="0"/>
          <w:lang w:eastAsia="en-GB"/>
          <w14:ligatures w14:val="none"/>
        </w:rPr>
      </w:pPr>
    </w:p>
    <w:p w14:paraId="5FB48A39" w14:textId="77777777" w:rsidR="000B54AD" w:rsidRPr="000B54AD" w:rsidRDefault="001E07CC" w:rsidP="000B54AD">
      <w:pPr>
        <w:pStyle w:val="ListParagraph"/>
        <w:numPr>
          <w:ilvl w:val="0"/>
          <w:numId w:val="16"/>
        </w:numPr>
        <w:spacing w:after="0" w:line="240" w:lineRule="auto"/>
        <w:rPr>
          <w:rFonts w:ascii="Times New Roman" w:eastAsia="Times New Roman" w:hAnsi="Times New Roman" w:cs="Times New Roman"/>
          <w:kern w:val="0"/>
          <w:sz w:val="24"/>
          <w:szCs w:val="24"/>
          <w:lang w:eastAsia="en-GB"/>
          <w14:ligatures w14:val="none"/>
        </w:rPr>
      </w:pPr>
      <w:r w:rsidRPr="000B54AD">
        <w:rPr>
          <w:rFonts w:ascii="Arial" w:eastAsia="Times New Roman" w:hAnsi="Arial" w:cs="Arial"/>
          <w:color w:val="000000"/>
          <w:kern w:val="0"/>
          <w:lang w:eastAsia="en-GB"/>
          <w14:ligatures w14:val="none"/>
        </w:rPr>
        <w:t>Hold institutions accountable if postdocs are not equitably compensated as per NIH postdoc appointment compensation package (proposed solution A). </w:t>
      </w:r>
    </w:p>
    <w:p w14:paraId="2C278F04" w14:textId="77777777" w:rsidR="000B54AD" w:rsidRPr="000B54AD" w:rsidRDefault="000B54AD" w:rsidP="000B54AD">
      <w:pPr>
        <w:pStyle w:val="ListParagraph"/>
        <w:rPr>
          <w:rFonts w:ascii="Arial" w:eastAsia="Times New Roman" w:hAnsi="Arial" w:cs="Arial"/>
          <w:color w:val="000000"/>
          <w:kern w:val="0"/>
          <w:lang w:eastAsia="en-GB"/>
          <w14:ligatures w14:val="none"/>
        </w:rPr>
      </w:pPr>
    </w:p>
    <w:p w14:paraId="6CE192E2" w14:textId="64E80244" w:rsidR="000B54AD" w:rsidRPr="000B54AD" w:rsidRDefault="001E07CC" w:rsidP="000B54AD">
      <w:pPr>
        <w:pStyle w:val="ListParagraph"/>
        <w:numPr>
          <w:ilvl w:val="0"/>
          <w:numId w:val="16"/>
        </w:numPr>
        <w:spacing w:after="0" w:line="240" w:lineRule="auto"/>
        <w:rPr>
          <w:rFonts w:ascii="Times New Roman" w:eastAsia="Times New Roman" w:hAnsi="Times New Roman" w:cs="Times New Roman"/>
          <w:kern w:val="0"/>
          <w:sz w:val="24"/>
          <w:szCs w:val="24"/>
          <w:lang w:eastAsia="en-GB"/>
          <w14:ligatures w14:val="none"/>
        </w:rPr>
      </w:pPr>
      <w:r w:rsidRPr="000B54AD">
        <w:rPr>
          <w:rFonts w:ascii="Arial" w:eastAsia="Times New Roman" w:hAnsi="Arial" w:cs="Arial"/>
          <w:color w:val="000000"/>
          <w:kern w:val="0"/>
          <w:lang w:eastAsia="en-GB"/>
          <w14:ligatures w14:val="none"/>
        </w:rPr>
        <w:t xml:space="preserve">Ensure the mental and physical safety of postdocs who report </w:t>
      </w:r>
      <w:r w:rsidR="00984C82">
        <w:rPr>
          <w:rFonts w:ascii="Arial" w:eastAsia="Times New Roman" w:hAnsi="Arial" w:cs="Arial"/>
          <w:color w:val="000000"/>
          <w:kern w:val="0"/>
          <w:lang w:eastAsia="en-GB"/>
          <w14:ligatures w14:val="none"/>
        </w:rPr>
        <w:t xml:space="preserve">maltreatment </w:t>
      </w:r>
      <w:r w:rsidRPr="000B54AD">
        <w:rPr>
          <w:rFonts w:ascii="Arial" w:eastAsia="Times New Roman" w:hAnsi="Arial" w:cs="Arial"/>
          <w:color w:val="000000"/>
          <w:kern w:val="0"/>
          <w:lang w:eastAsia="en-GB"/>
          <w14:ligatures w14:val="none"/>
        </w:rPr>
        <w:t xml:space="preserve">and </w:t>
      </w:r>
      <w:r w:rsidR="00984C82">
        <w:rPr>
          <w:rFonts w:ascii="Arial" w:eastAsia="Times New Roman" w:hAnsi="Arial" w:cs="Arial"/>
          <w:color w:val="000000"/>
          <w:kern w:val="0"/>
          <w:lang w:eastAsia="en-GB"/>
          <w14:ligatures w14:val="none"/>
        </w:rPr>
        <w:t xml:space="preserve">to </w:t>
      </w:r>
      <w:r w:rsidRPr="000B54AD">
        <w:rPr>
          <w:rFonts w:ascii="Arial" w:eastAsia="Times New Roman" w:hAnsi="Arial" w:cs="Arial"/>
          <w:color w:val="000000"/>
          <w:kern w:val="0"/>
          <w:lang w:eastAsia="en-GB"/>
          <w14:ligatures w14:val="none"/>
        </w:rPr>
        <w:t>share an actionable timeline with them. </w:t>
      </w:r>
    </w:p>
    <w:p w14:paraId="24CCDD11" w14:textId="77777777" w:rsidR="000B54AD" w:rsidRPr="000B54AD" w:rsidRDefault="000B54AD" w:rsidP="000B54AD">
      <w:pPr>
        <w:pStyle w:val="ListParagraph"/>
        <w:rPr>
          <w:rFonts w:ascii="Arial" w:eastAsia="Times New Roman" w:hAnsi="Arial" w:cs="Arial"/>
          <w:color w:val="000000"/>
          <w:kern w:val="0"/>
          <w:lang w:eastAsia="en-GB"/>
          <w14:ligatures w14:val="none"/>
        </w:rPr>
      </w:pPr>
    </w:p>
    <w:p w14:paraId="27F06F0A" w14:textId="5A28DE36" w:rsidR="001E07CC" w:rsidRPr="000B54AD" w:rsidRDefault="001E07CC" w:rsidP="000B54AD">
      <w:pPr>
        <w:pStyle w:val="ListParagraph"/>
        <w:numPr>
          <w:ilvl w:val="0"/>
          <w:numId w:val="16"/>
        </w:numPr>
        <w:spacing w:after="0" w:line="240" w:lineRule="auto"/>
        <w:rPr>
          <w:rFonts w:ascii="Times New Roman" w:eastAsia="Times New Roman" w:hAnsi="Times New Roman" w:cs="Times New Roman"/>
          <w:kern w:val="0"/>
          <w:sz w:val="24"/>
          <w:szCs w:val="24"/>
          <w:lang w:eastAsia="en-GB"/>
          <w14:ligatures w14:val="none"/>
        </w:rPr>
      </w:pPr>
      <w:r w:rsidRPr="000B54AD">
        <w:rPr>
          <w:rFonts w:ascii="Arial" w:eastAsia="Times New Roman" w:hAnsi="Arial" w:cs="Arial"/>
          <w:color w:val="000000"/>
          <w:kern w:val="0"/>
          <w:lang w:eastAsia="en-GB"/>
          <w14:ligatures w14:val="none"/>
        </w:rPr>
        <w:t>Implement accountability, such as cutting PIs/lab/institutional funding for a defined period and depending on the reporting severity.</w:t>
      </w:r>
    </w:p>
    <w:p w14:paraId="79DD9F06" w14:textId="77777777" w:rsidR="008633AE" w:rsidRDefault="008633AE" w:rsidP="008633AE">
      <w:pPr>
        <w:spacing w:after="0" w:line="240" w:lineRule="auto"/>
        <w:rPr>
          <w:rFonts w:ascii="Arial" w:eastAsia="Times New Roman" w:hAnsi="Arial" w:cs="Arial"/>
          <w:i/>
          <w:iCs/>
          <w:color w:val="000000"/>
          <w:kern w:val="0"/>
          <w:lang w:eastAsia="en-GB"/>
          <w14:ligatures w14:val="none"/>
        </w:rPr>
      </w:pPr>
      <w:r>
        <w:rPr>
          <w:rFonts w:ascii="Times New Roman" w:eastAsia="Times New Roman" w:hAnsi="Times New Roman" w:cs="Times New Roman"/>
          <w:kern w:val="0"/>
          <w:sz w:val="24"/>
          <w:szCs w:val="24"/>
          <w:lang w:eastAsia="en-GB"/>
          <w14:ligatures w14:val="none"/>
        </w:rPr>
        <w:br/>
      </w:r>
      <w:r>
        <w:rPr>
          <w:rFonts w:ascii="Arial" w:eastAsia="Times New Roman" w:hAnsi="Arial" w:cs="Arial"/>
          <w:i/>
          <w:iCs/>
          <w:color w:val="000000"/>
          <w:kern w:val="0"/>
          <w:lang w:eastAsia="en-GB"/>
          <w14:ligatures w14:val="none"/>
        </w:rPr>
        <w:t>Conclusion</w:t>
      </w:r>
    </w:p>
    <w:p w14:paraId="6E9C9BBE" w14:textId="77777777" w:rsidR="008633AE" w:rsidRDefault="008633AE" w:rsidP="008633AE">
      <w:pPr>
        <w:spacing w:after="0" w:line="240" w:lineRule="auto"/>
        <w:rPr>
          <w:rFonts w:ascii="Arial" w:eastAsia="Times New Roman" w:hAnsi="Arial" w:cs="Arial"/>
          <w:i/>
          <w:iCs/>
          <w:color w:val="000000"/>
          <w:kern w:val="0"/>
          <w:lang w:eastAsia="en-GB"/>
          <w14:ligatures w14:val="none"/>
        </w:rPr>
      </w:pPr>
    </w:p>
    <w:p w14:paraId="3454B2E7" w14:textId="2AEF19AC" w:rsidR="001E07CC" w:rsidRPr="00BD5473" w:rsidRDefault="008633AE" w:rsidP="00BD5473">
      <w:pPr>
        <w:spacing w:after="0" w:line="240" w:lineRule="auto"/>
        <w:jc w:val="both"/>
        <w:rPr>
          <w:rFonts w:ascii="Times New Roman" w:eastAsia="Times New Roman" w:hAnsi="Times New Roman" w:cs="Times New Roman"/>
          <w:kern w:val="0"/>
          <w:sz w:val="24"/>
          <w:szCs w:val="24"/>
          <w:lang w:eastAsia="en-GB"/>
          <w14:ligatures w14:val="none"/>
        </w:rPr>
      </w:pPr>
      <w:r w:rsidRPr="00BD5473">
        <w:rPr>
          <w:rFonts w:ascii="Arial" w:eastAsia="Times New Roman" w:hAnsi="Arial" w:cs="Arial"/>
          <w:color w:val="000000"/>
          <w:kern w:val="0"/>
          <w:lang w:eastAsia="en-GB"/>
          <w14:ligatures w14:val="none"/>
        </w:rPr>
        <w:t xml:space="preserve">We hope NIH will consider the recommendations from our postdoctoral community and others </w:t>
      </w:r>
      <w:r w:rsidR="00BD5473">
        <w:rPr>
          <w:rFonts w:ascii="Arial" w:eastAsia="Times New Roman" w:hAnsi="Arial" w:cs="Arial"/>
          <w:color w:val="000000"/>
          <w:kern w:val="0"/>
          <w:lang w:eastAsia="en-GB"/>
          <w14:ligatures w14:val="none"/>
        </w:rPr>
        <w:t>nationwide</w:t>
      </w:r>
      <w:r w:rsidRPr="00BD5473">
        <w:rPr>
          <w:rFonts w:ascii="Arial" w:eastAsia="Times New Roman" w:hAnsi="Arial" w:cs="Arial"/>
          <w:color w:val="000000"/>
          <w:kern w:val="0"/>
          <w:lang w:eastAsia="en-GB"/>
          <w14:ligatures w14:val="none"/>
        </w:rPr>
        <w:t xml:space="preserve"> in enacting actionable changes, demonstrat</w:t>
      </w:r>
      <w:r w:rsidR="00BD5473">
        <w:rPr>
          <w:rFonts w:ascii="Arial" w:eastAsia="Times New Roman" w:hAnsi="Arial" w:cs="Arial"/>
          <w:color w:val="000000"/>
          <w:kern w:val="0"/>
          <w:lang w:eastAsia="en-GB"/>
          <w14:ligatures w14:val="none"/>
        </w:rPr>
        <w:t>ing</w:t>
      </w:r>
      <w:r w:rsidRPr="00BD5473">
        <w:rPr>
          <w:rFonts w:ascii="Arial" w:eastAsia="Times New Roman" w:hAnsi="Arial" w:cs="Arial"/>
          <w:color w:val="000000"/>
          <w:kern w:val="0"/>
          <w:lang w:eastAsia="en-GB"/>
          <w14:ligatures w14:val="none"/>
        </w:rPr>
        <w:t xml:space="preserve"> NIH’s commitment to </w:t>
      </w:r>
      <w:r w:rsidR="00BD5473" w:rsidRPr="00BD5473">
        <w:rPr>
          <w:rFonts w:ascii="Arial" w:eastAsia="Times New Roman" w:hAnsi="Arial" w:cs="Arial"/>
          <w:color w:val="000000"/>
          <w:kern w:val="0"/>
          <w:lang w:eastAsia="en-GB"/>
          <w14:ligatures w14:val="none"/>
        </w:rPr>
        <w:t xml:space="preserve">equity and </w:t>
      </w:r>
      <w:r w:rsidR="00BD5473">
        <w:rPr>
          <w:rFonts w:ascii="Arial" w:eastAsia="Times New Roman" w:hAnsi="Arial" w:cs="Arial"/>
          <w:color w:val="000000"/>
          <w:kern w:val="0"/>
          <w:lang w:eastAsia="en-GB"/>
          <w14:ligatures w14:val="none"/>
        </w:rPr>
        <w:t xml:space="preserve">the </w:t>
      </w:r>
      <w:r w:rsidR="00BD5473" w:rsidRPr="00BD5473">
        <w:rPr>
          <w:rFonts w:ascii="Arial" w:eastAsia="Times New Roman" w:hAnsi="Arial" w:cs="Arial"/>
          <w:color w:val="000000"/>
          <w:kern w:val="0"/>
          <w:lang w:eastAsia="en-GB"/>
          <w14:ligatures w14:val="none"/>
        </w:rPr>
        <w:t xml:space="preserve">future of postdocs. Once again, we are thankful for the opportunity to provide direct feedback from our postdoctoral community. We are willing to collaborate, provide any resources you may need, and take steps together in re-envisioning postdoctoral research in the US. </w:t>
      </w:r>
    </w:p>
    <w:p w14:paraId="65471AD8" w14:textId="77777777" w:rsidR="00D86CAC" w:rsidRDefault="00D86CAC"/>
    <w:sectPr w:rsidR="00D86CAC" w:rsidSect="001E07C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B4526"/>
    <w:multiLevelType w:val="multilevel"/>
    <w:tmpl w:val="035C547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33F9F"/>
    <w:multiLevelType w:val="multilevel"/>
    <w:tmpl w:val="1138E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E75D4"/>
    <w:multiLevelType w:val="hybridMultilevel"/>
    <w:tmpl w:val="EB12B9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F0733"/>
    <w:multiLevelType w:val="hybridMultilevel"/>
    <w:tmpl w:val="BD920582"/>
    <w:lvl w:ilvl="0" w:tplc="A70AC46C">
      <w:start w:val="4"/>
      <w:numFmt w:val="upperLetter"/>
      <w:lvlText w:val="%1."/>
      <w:lvlJc w:val="left"/>
      <w:pPr>
        <w:tabs>
          <w:tab w:val="num" w:pos="720"/>
        </w:tabs>
        <w:ind w:left="720" w:hanging="360"/>
      </w:pPr>
    </w:lvl>
    <w:lvl w:ilvl="1" w:tplc="1952BB1E" w:tentative="1">
      <w:start w:val="1"/>
      <w:numFmt w:val="decimal"/>
      <w:lvlText w:val="%2."/>
      <w:lvlJc w:val="left"/>
      <w:pPr>
        <w:tabs>
          <w:tab w:val="num" w:pos="1440"/>
        </w:tabs>
        <w:ind w:left="1440" w:hanging="360"/>
      </w:pPr>
    </w:lvl>
    <w:lvl w:ilvl="2" w:tplc="207A594E" w:tentative="1">
      <w:start w:val="1"/>
      <w:numFmt w:val="decimal"/>
      <w:lvlText w:val="%3."/>
      <w:lvlJc w:val="left"/>
      <w:pPr>
        <w:tabs>
          <w:tab w:val="num" w:pos="2160"/>
        </w:tabs>
        <w:ind w:left="2160" w:hanging="360"/>
      </w:pPr>
    </w:lvl>
    <w:lvl w:ilvl="3" w:tplc="7EEE07D4" w:tentative="1">
      <w:start w:val="1"/>
      <w:numFmt w:val="decimal"/>
      <w:lvlText w:val="%4."/>
      <w:lvlJc w:val="left"/>
      <w:pPr>
        <w:tabs>
          <w:tab w:val="num" w:pos="2880"/>
        </w:tabs>
        <w:ind w:left="2880" w:hanging="360"/>
      </w:pPr>
    </w:lvl>
    <w:lvl w:ilvl="4" w:tplc="93A250AA" w:tentative="1">
      <w:start w:val="1"/>
      <w:numFmt w:val="decimal"/>
      <w:lvlText w:val="%5."/>
      <w:lvlJc w:val="left"/>
      <w:pPr>
        <w:tabs>
          <w:tab w:val="num" w:pos="3600"/>
        </w:tabs>
        <w:ind w:left="3600" w:hanging="360"/>
      </w:pPr>
    </w:lvl>
    <w:lvl w:ilvl="5" w:tplc="EB9C87D2" w:tentative="1">
      <w:start w:val="1"/>
      <w:numFmt w:val="decimal"/>
      <w:lvlText w:val="%6."/>
      <w:lvlJc w:val="left"/>
      <w:pPr>
        <w:tabs>
          <w:tab w:val="num" w:pos="4320"/>
        </w:tabs>
        <w:ind w:left="4320" w:hanging="360"/>
      </w:pPr>
    </w:lvl>
    <w:lvl w:ilvl="6" w:tplc="FCCA817E" w:tentative="1">
      <w:start w:val="1"/>
      <w:numFmt w:val="decimal"/>
      <w:lvlText w:val="%7."/>
      <w:lvlJc w:val="left"/>
      <w:pPr>
        <w:tabs>
          <w:tab w:val="num" w:pos="5040"/>
        </w:tabs>
        <w:ind w:left="5040" w:hanging="360"/>
      </w:pPr>
    </w:lvl>
    <w:lvl w:ilvl="7" w:tplc="649E65EE" w:tentative="1">
      <w:start w:val="1"/>
      <w:numFmt w:val="decimal"/>
      <w:lvlText w:val="%8."/>
      <w:lvlJc w:val="left"/>
      <w:pPr>
        <w:tabs>
          <w:tab w:val="num" w:pos="5760"/>
        </w:tabs>
        <w:ind w:left="5760" w:hanging="360"/>
      </w:pPr>
    </w:lvl>
    <w:lvl w:ilvl="8" w:tplc="EA58C052" w:tentative="1">
      <w:start w:val="1"/>
      <w:numFmt w:val="decimal"/>
      <w:lvlText w:val="%9."/>
      <w:lvlJc w:val="left"/>
      <w:pPr>
        <w:tabs>
          <w:tab w:val="num" w:pos="6480"/>
        </w:tabs>
        <w:ind w:left="6480" w:hanging="360"/>
      </w:pPr>
    </w:lvl>
  </w:abstractNum>
  <w:abstractNum w:abstractNumId="4" w15:restartNumberingAfterBreak="0">
    <w:nsid w:val="2A6A5FB2"/>
    <w:multiLevelType w:val="multilevel"/>
    <w:tmpl w:val="E5E051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7E595D"/>
    <w:multiLevelType w:val="multilevel"/>
    <w:tmpl w:val="34703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DF72A8"/>
    <w:multiLevelType w:val="hybridMultilevel"/>
    <w:tmpl w:val="EE4A49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B05F03"/>
    <w:multiLevelType w:val="multilevel"/>
    <w:tmpl w:val="6E74E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0A5815"/>
    <w:multiLevelType w:val="hybridMultilevel"/>
    <w:tmpl w:val="AEC2B90A"/>
    <w:lvl w:ilvl="0" w:tplc="2A101C76">
      <w:start w:val="2"/>
      <w:numFmt w:val="upperLetter"/>
      <w:lvlText w:val="%1."/>
      <w:lvlJc w:val="left"/>
      <w:pPr>
        <w:tabs>
          <w:tab w:val="num" w:pos="720"/>
        </w:tabs>
        <w:ind w:left="720" w:hanging="360"/>
      </w:pPr>
    </w:lvl>
    <w:lvl w:ilvl="1" w:tplc="1D746EFC" w:tentative="1">
      <w:start w:val="1"/>
      <w:numFmt w:val="decimal"/>
      <w:lvlText w:val="%2."/>
      <w:lvlJc w:val="left"/>
      <w:pPr>
        <w:tabs>
          <w:tab w:val="num" w:pos="1440"/>
        </w:tabs>
        <w:ind w:left="1440" w:hanging="360"/>
      </w:pPr>
    </w:lvl>
    <w:lvl w:ilvl="2" w:tplc="57189C2C" w:tentative="1">
      <w:start w:val="1"/>
      <w:numFmt w:val="decimal"/>
      <w:lvlText w:val="%3."/>
      <w:lvlJc w:val="left"/>
      <w:pPr>
        <w:tabs>
          <w:tab w:val="num" w:pos="2160"/>
        </w:tabs>
        <w:ind w:left="2160" w:hanging="360"/>
      </w:pPr>
    </w:lvl>
    <w:lvl w:ilvl="3" w:tplc="C30C474A" w:tentative="1">
      <w:start w:val="1"/>
      <w:numFmt w:val="decimal"/>
      <w:lvlText w:val="%4."/>
      <w:lvlJc w:val="left"/>
      <w:pPr>
        <w:tabs>
          <w:tab w:val="num" w:pos="2880"/>
        </w:tabs>
        <w:ind w:left="2880" w:hanging="360"/>
      </w:pPr>
    </w:lvl>
    <w:lvl w:ilvl="4" w:tplc="73CE15DE" w:tentative="1">
      <w:start w:val="1"/>
      <w:numFmt w:val="decimal"/>
      <w:lvlText w:val="%5."/>
      <w:lvlJc w:val="left"/>
      <w:pPr>
        <w:tabs>
          <w:tab w:val="num" w:pos="3600"/>
        </w:tabs>
        <w:ind w:left="3600" w:hanging="360"/>
      </w:pPr>
    </w:lvl>
    <w:lvl w:ilvl="5" w:tplc="46D82058" w:tentative="1">
      <w:start w:val="1"/>
      <w:numFmt w:val="decimal"/>
      <w:lvlText w:val="%6."/>
      <w:lvlJc w:val="left"/>
      <w:pPr>
        <w:tabs>
          <w:tab w:val="num" w:pos="4320"/>
        </w:tabs>
        <w:ind w:left="4320" w:hanging="360"/>
      </w:pPr>
    </w:lvl>
    <w:lvl w:ilvl="6" w:tplc="511634B0" w:tentative="1">
      <w:start w:val="1"/>
      <w:numFmt w:val="decimal"/>
      <w:lvlText w:val="%7."/>
      <w:lvlJc w:val="left"/>
      <w:pPr>
        <w:tabs>
          <w:tab w:val="num" w:pos="5040"/>
        </w:tabs>
        <w:ind w:left="5040" w:hanging="360"/>
      </w:pPr>
    </w:lvl>
    <w:lvl w:ilvl="7" w:tplc="99E4544A" w:tentative="1">
      <w:start w:val="1"/>
      <w:numFmt w:val="decimal"/>
      <w:lvlText w:val="%8."/>
      <w:lvlJc w:val="left"/>
      <w:pPr>
        <w:tabs>
          <w:tab w:val="num" w:pos="5760"/>
        </w:tabs>
        <w:ind w:left="5760" w:hanging="360"/>
      </w:pPr>
    </w:lvl>
    <w:lvl w:ilvl="8" w:tplc="0928C87A" w:tentative="1">
      <w:start w:val="1"/>
      <w:numFmt w:val="decimal"/>
      <w:lvlText w:val="%9."/>
      <w:lvlJc w:val="left"/>
      <w:pPr>
        <w:tabs>
          <w:tab w:val="num" w:pos="6480"/>
        </w:tabs>
        <w:ind w:left="6480" w:hanging="360"/>
      </w:pPr>
    </w:lvl>
  </w:abstractNum>
  <w:abstractNum w:abstractNumId="9" w15:restartNumberingAfterBreak="0">
    <w:nsid w:val="63CA1B72"/>
    <w:multiLevelType w:val="hybridMultilevel"/>
    <w:tmpl w:val="5B1CB9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585A7C"/>
    <w:multiLevelType w:val="multilevel"/>
    <w:tmpl w:val="02A270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60659F"/>
    <w:multiLevelType w:val="multilevel"/>
    <w:tmpl w:val="7F5C5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A01DC6"/>
    <w:multiLevelType w:val="multilevel"/>
    <w:tmpl w:val="CEE00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693283"/>
    <w:multiLevelType w:val="multilevel"/>
    <w:tmpl w:val="12BACC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910C3B"/>
    <w:multiLevelType w:val="hybridMultilevel"/>
    <w:tmpl w:val="CCCC34DC"/>
    <w:lvl w:ilvl="0" w:tplc="259C2270">
      <w:start w:val="3"/>
      <w:numFmt w:val="upperLetter"/>
      <w:lvlText w:val="%1."/>
      <w:lvlJc w:val="left"/>
      <w:pPr>
        <w:tabs>
          <w:tab w:val="num" w:pos="720"/>
        </w:tabs>
        <w:ind w:left="720" w:hanging="360"/>
      </w:pPr>
    </w:lvl>
    <w:lvl w:ilvl="1" w:tplc="8DEE6400" w:tentative="1">
      <w:start w:val="1"/>
      <w:numFmt w:val="decimal"/>
      <w:lvlText w:val="%2."/>
      <w:lvlJc w:val="left"/>
      <w:pPr>
        <w:tabs>
          <w:tab w:val="num" w:pos="1440"/>
        </w:tabs>
        <w:ind w:left="1440" w:hanging="360"/>
      </w:pPr>
    </w:lvl>
    <w:lvl w:ilvl="2" w:tplc="E78C83B4" w:tentative="1">
      <w:start w:val="1"/>
      <w:numFmt w:val="decimal"/>
      <w:lvlText w:val="%3."/>
      <w:lvlJc w:val="left"/>
      <w:pPr>
        <w:tabs>
          <w:tab w:val="num" w:pos="2160"/>
        </w:tabs>
        <w:ind w:left="2160" w:hanging="360"/>
      </w:pPr>
    </w:lvl>
    <w:lvl w:ilvl="3" w:tplc="0B7852C8" w:tentative="1">
      <w:start w:val="1"/>
      <w:numFmt w:val="decimal"/>
      <w:lvlText w:val="%4."/>
      <w:lvlJc w:val="left"/>
      <w:pPr>
        <w:tabs>
          <w:tab w:val="num" w:pos="2880"/>
        </w:tabs>
        <w:ind w:left="2880" w:hanging="360"/>
      </w:pPr>
    </w:lvl>
    <w:lvl w:ilvl="4" w:tplc="4808D8E2" w:tentative="1">
      <w:start w:val="1"/>
      <w:numFmt w:val="decimal"/>
      <w:lvlText w:val="%5."/>
      <w:lvlJc w:val="left"/>
      <w:pPr>
        <w:tabs>
          <w:tab w:val="num" w:pos="3600"/>
        </w:tabs>
        <w:ind w:left="3600" w:hanging="360"/>
      </w:pPr>
    </w:lvl>
    <w:lvl w:ilvl="5" w:tplc="DE66707A" w:tentative="1">
      <w:start w:val="1"/>
      <w:numFmt w:val="decimal"/>
      <w:lvlText w:val="%6."/>
      <w:lvlJc w:val="left"/>
      <w:pPr>
        <w:tabs>
          <w:tab w:val="num" w:pos="4320"/>
        </w:tabs>
        <w:ind w:left="4320" w:hanging="360"/>
      </w:pPr>
    </w:lvl>
    <w:lvl w:ilvl="6" w:tplc="8C2AB826" w:tentative="1">
      <w:start w:val="1"/>
      <w:numFmt w:val="decimal"/>
      <w:lvlText w:val="%7."/>
      <w:lvlJc w:val="left"/>
      <w:pPr>
        <w:tabs>
          <w:tab w:val="num" w:pos="5040"/>
        </w:tabs>
        <w:ind w:left="5040" w:hanging="360"/>
      </w:pPr>
    </w:lvl>
    <w:lvl w:ilvl="7" w:tplc="01520150" w:tentative="1">
      <w:start w:val="1"/>
      <w:numFmt w:val="decimal"/>
      <w:lvlText w:val="%8."/>
      <w:lvlJc w:val="left"/>
      <w:pPr>
        <w:tabs>
          <w:tab w:val="num" w:pos="5760"/>
        </w:tabs>
        <w:ind w:left="5760" w:hanging="360"/>
      </w:pPr>
    </w:lvl>
    <w:lvl w:ilvl="8" w:tplc="A600EFFE" w:tentative="1">
      <w:start w:val="1"/>
      <w:numFmt w:val="decimal"/>
      <w:lvlText w:val="%9."/>
      <w:lvlJc w:val="left"/>
      <w:pPr>
        <w:tabs>
          <w:tab w:val="num" w:pos="6480"/>
        </w:tabs>
        <w:ind w:left="6480" w:hanging="360"/>
      </w:pPr>
    </w:lvl>
  </w:abstractNum>
  <w:abstractNum w:abstractNumId="15" w15:restartNumberingAfterBreak="0">
    <w:nsid w:val="750C1192"/>
    <w:multiLevelType w:val="multilevel"/>
    <w:tmpl w:val="7E8A1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93572A"/>
    <w:multiLevelType w:val="multilevel"/>
    <w:tmpl w:val="470CE8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2115944">
    <w:abstractNumId w:val="5"/>
    <w:lvlOverride w:ilvl="0">
      <w:lvl w:ilvl="0">
        <w:numFmt w:val="upperLetter"/>
        <w:lvlText w:val="%1."/>
        <w:lvlJc w:val="left"/>
      </w:lvl>
    </w:lvlOverride>
  </w:num>
  <w:num w:numId="2" w16cid:durableId="1104347992">
    <w:abstractNumId w:val="8"/>
  </w:num>
  <w:num w:numId="3" w16cid:durableId="79066835">
    <w:abstractNumId w:val="14"/>
  </w:num>
  <w:num w:numId="4" w16cid:durableId="1465386400">
    <w:abstractNumId w:val="3"/>
  </w:num>
  <w:num w:numId="5" w16cid:durableId="582034981">
    <w:abstractNumId w:val="11"/>
    <w:lvlOverride w:ilvl="0">
      <w:lvl w:ilvl="0">
        <w:numFmt w:val="upperLetter"/>
        <w:lvlText w:val="%1."/>
        <w:lvlJc w:val="left"/>
      </w:lvl>
    </w:lvlOverride>
  </w:num>
  <w:num w:numId="6" w16cid:durableId="1563759715">
    <w:abstractNumId w:val="1"/>
  </w:num>
  <w:num w:numId="7" w16cid:durableId="1603298855">
    <w:abstractNumId w:val="7"/>
  </w:num>
  <w:num w:numId="8" w16cid:durableId="572280065">
    <w:abstractNumId w:val="13"/>
    <w:lvlOverride w:ilvl="0">
      <w:lvl w:ilvl="0">
        <w:numFmt w:val="decimal"/>
        <w:lvlText w:val="%1."/>
        <w:lvlJc w:val="left"/>
      </w:lvl>
    </w:lvlOverride>
  </w:num>
  <w:num w:numId="9" w16cid:durableId="799806123">
    <w:abstractNumId w:val="15"/>
    <w:lvlOverride w:ilvl="0">
      <w:lvl w:ilvl="0">
        <w:numFmt w:val="decimal"/>
        <w:lvlText w:val="%1."/>
        <w:lvlJc w:val="left"/>
      </w:lvl>
    </w:lvlOverride>
  </w:num>
  <w:num w:numId="10" w16cid:durableId="1936011112">
    <w:abstractNumId w:val="12"/>
    <w:lvlOverride w:ilvl="0">
      <w:lvl w:ilvl="0">
        <w:numFmt w:val="decimal"/>
        <w:lvlText w:val="%1."/>
        <w:lvlJc w:val="left"/>
      </w:lvl>
    </w:lvlOverride>
  </w:num>
  <w:num w:numId="11" w16cid:durableId="92673658">
    <w:abstractNumId w:val="16"/>
    <w:lvlOverride w:ilvl="0">
      <w:lvl w:ilvl="0">
        <w:numFmt w:val="decimal"/>
        <w:lvlText w:val="%1."/>
        <w:lvlJc w:val="left"/>
      </w:lvl>
    </w:lvlOverride>
  </w:num>
  <w:num w:numId="12" w16cid:durableId="339308833">
    <w:abstractNumId w:val="10"/>
    <w:lvlOverride w:ilvl="0">
      <w:lvl w:ilvl="0">
        <w:numFmt w:val="decimal"/>
        <w:lvlText w:val="%1."/>
        <w:lvlJc w:val="left"/>
      </w:lvl>
    </w:lvlOverride>
  </w:num>
  <w:num w:numId="13" w16cid:durableId="553345976">
    <w:abstractNumId w:val="0"/>
    <w:lvlOverride w:ilvl="0">
      <w:lvl w:ilvl="0">
        <w:numFmt w:val="decimal"/>
        <w:lvlText w:val="%1."/>
        <w:lvlJc w:val="left"/>
      </w:lvl>
    </w:lvlOverride>
  </w:num>
  <w:num w:numId="14" w16cid:durableId="1052997758">
    <w:abstractNumId w:val="4"/>
    <w:lvlOverride w:ilvl="0">
      <w:lvl w:ilvl="0">
        <w:numFmt w:val="decimal"/>
        <w:lvlText w:val="%1."/>
        <w:lvlJc w:val="left"/>
      </w:lvl>
    </w:lvlOverride>
  </w:num>
  <w:num w:numId="15" w16cid:durableId="1301769729">
    <w:abstractNumId w:val="6"/>
  </w:num>
  <w:num w:numId="16" w16cid:durableId="2014136914">
    <w:abstractNumId w:val="9"/>
  </w:num>
  <w:num w:numId="17" w16cid:durableId="1569534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CC"/>
    <w:rsid w:val="000B54AD"/>
    <w:rsid w:val="001E07CC"/>
    <w:rsid w:val="003A3646"/>
    <w:rsid w:val="005370F5"/>
    <w:rsid w:val="00685072"/>
    <w:rsid w:val="008633AE"/>
    <w:rsid w:val="008B572E"/>
    <w:rsid w:val="00984C82"/>
    <w:rsid w:val="00BD5473"/>
    <w:rsid w:val="00D86CAC"/>
    <w:rsid w:val="00FE716C"/>
  </w:rsids>
  <m:mathPr>
    <m:mathFont m:val="Cambria Math"/>
    <m:brkBin m:val="before"/>
    <m:brkBinSub m:val="--"/>
    <m:smallFrac m:val="0"/>
    <m:dispDef/>
    <m:lMargin m:val="0"/>
    <m:rMargin m:val="0"/>
    <m:defJc m:val="centerGroup"/>
    <m:wrapIndent m:val="1440"/>
    <m:intLim m:val="subSup"/>
    <m:naryLim m:val="undOvr"/>
  </m:mathPr>
  <w:themeFontLang w:val="en-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4E7F"/>
  <w15:chartTrackingRefBased/>
  <w15:docId w15:val="{D1D7BB90-1741-4F59-9281-4844FF8D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07C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E07CC"/>
    <w:rPr>
      <w:color w:val="0000FF"/>
      <w:u w:val="single"/>
    </w:rPr>
  </w:style>
  <w:style w:type="character" w:customStyle="1" w:styleId="apple-tab-span">
    <w:name w:val="apple-tab-span"/>
    <w:basedOn w:val="DefaultParagraphFont"/>
    <w:rsid w:val="001E07CC"/>
  </w:style>
  <w:style w:type="paragraph" w:styleId="ListParagraph">
    <w:name w:val="List Paragraph"/>
    <w:basedOn w:val="Normal"/>
    <w:uiPriority w:val="34"/>
    <w:qFormat/>
    <w:rsid w:val="001E07CC"/>
    <w:pPr>
      <w:ind w:left="720"/>
      <w:contextualSpacing/>
    </w:pPr>
  </w:style>
  <w:style w:type="character" w:styleId="UnresolvedMention">
    <w:name w:val="Unresolved Mention"/>
    <w:basedOn w:val="DefaultParagraphFont"/>
    <w:uiPriority w:val="99"/>
    <w:semiHidden/>
    <w:unhideWhenUsed/>
    <w:rsid w:val="003A3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grants/guide/notice-files/NOT-OD-23-084.html" TargetMode="External"/><Relationship Id="rId13" Type="http://schemas.openxmlformats.org/officeDocument/2006/relationships/hyperlink" Target="https://www.niaid.nih.gov/grants-contracts/salary-cap-stipends" TargetMode="External"/><Relationship Id="rId18" Type="http://schemas.openxmlformats.org/officeDocument/2006/relationships/hyperlink" Target="https://www-nature-com.ezp-prod1.hul.harvard.edu/articles/s41587-023-01656-4" TargetMode="External"/><Relationship Id="rId26" Type="http://schemas.openxmlformats.org/officeDocument/2006/relationships/hyperlink" Target="https://www.gsa.gov/travel/plan-book/per-diem-rates?gsaredirect=perdiem" TargetMode="External"/><Relationship Id="rId3" Type="http://schemas.openxmlformats.org/officeDocument/2006/relationships/settings" Target="settings.xml"/><Relationship Id="rId21" Type="http://schemas.openxmlformats.org/officeDocument/2006/relationships/hyperlink" Target="https://www.bhallalab.com/equity-reading-list" TargetMode="External"/><Relationship Id="rId7" Type="http://schemas.openxmlformats.org/officeDocument/2006/relationships/hyperlink" Target="https://hms.harvard.edu/news/harvard-medical-school-affiliates" TargetMode="External"/><Relationship Id="rId12" Type="http://schemas.openxmlformats.org/officeDocument/2006/relationships/hyperlink" Target="https://cdn.ymaws.com/www.nationalpostdoc.org/resource/resmgr/docs/2021_npa_policy_report.pdf" TargetMode="External"/><Relationship Id="rId17" Type="http://schemas.openxmlformats.org/officeDocument/2006/relationships/hyperlink" Target="https://www-emerald-com.ezp-prod1.hul.harvard.edu/insight/content/doi/10.1108/SGPE-D-17-00048/full/html" TargetMode="External"/><Relationship Id="rId25" Type="http://schemas.openxmlformats.org/officeDocument/2006/relationships/hyperlink" Target="https://policymanual.nih.gov/1500-04" TargetMode="External"/><Relationship Id="rId2" Type="http://schemas.openxmlformats.org/officeDocument/2006/relationships/styles" Target="styles.xml"/><Relationship Id="rId16" Type="http://schemas.openxmlformats.org/officeDocument/2006/relationships/hyperlink" Target="https://cdn.ymaws.com/www.nationalpostdoc.org/resource/resmgr/docs/2021_npa_policy_report.pdf" TargetMode="External"/><Relationship Id="rId20" Type="http://schemas.openxmlformats.org/officeDocument/2006/relationships/hyperlink" Target="https://www-training-nih-gov.ezp-prod1.hul.harvard.edu/postdoctoral_irta_stipend_ranges" TargetMode="External"/><Relationship Id="rId1" Type="http://schemas.openxmlformats.org/officeDocument/2006/relationships/numbering" Target="numbering.xml"/><Relationship Id="rId6" Type="http://schemas.openxmlformats.org/officeDocument/2006/relationships/hyperlink" Target="mailto:michal_skowyra@hms.harvard.edu" TargetMode="External"/><Relationship Id="rId11" Type="http://schemas.openxmlformats.org/officeDocument/2006/relationships/hyperlink" Target="https://www.ncbi.nlm.nih.gov/books/NBK547054/" TargetMode="External"/><Relationship Id="rId24" Type="http://schemas.openxmlformats.org/officeDocument/2006/relationships/hyperlink" Target="https://www-nature-com.ezp-prod1.hul.harvard.edu/articles/s41587-023-01656-4" TargetMode="External"/><Relationship Id="rId5" Type="http://schemas.openxmlformats.org/officeDocument/2006/relationships/hyperlink" Target="mailto:mayank_chugh@hms.harvard.edu" TargetMode="External"/><Relationship Id="rId15" Type="http://schemas.openxmlformats.org/officeDocument/2006/relationships/hyperlink" Target="https://nexus-od-nih-gov.ezp-prod1.hul.harvard.edu/all/2015/11/30/update-postdoctoral-benefit-survey/" TargetMode="External"/><Relationship Id="rId23" Type="http://schemas.openxmlformats.org/officeDocument/2006/relationships/hyperlink" Target="https://www-sciencedirect-com.ezp-prod1.hul.harvard.edu/science/article/pii/S0966842X22003432" TargetMode="External"/><Relationship Id="rId28" Type="http://schemas.openxmlformats.org/officeDocument/2006/relationships/theme" Target="theme/theme1.xml"/><Relationship Id="rId10" Type="http://schemas.openxmlformats.org/officeDocument/2006/relationships/hyperlink" Target="https://www.ncbi.nlm.nih.gov/books/NBK547065/" TargetMode="External"/><Relationship Id="rId19" Type="http://schemas.openxmlformats.org/officeDocument/2006/relationships/hyperlink" Target="https://www.nsf.gov/statistics/srvygradpostdoc/" TargetMode="External"/><Relationship Id="rId4" Type="http://schemas.openxmlformats.org/officeDocument/2006/relationships/webSettings" Target="webSettings.xml"/><Relationship Id="rId9" Type="http://schemas.openxmlformats.org/officeDocument/2006/relationships/hyperlink" Target="https://nap.nationalacademies.org/catalog/18693/the-invisible-university-postdoctoral-education-in-the-united-states-report-of-a-study-conducted-under-the-auspices-of-the-national-research-council-richard-b-curtis-study-director" TargetMode="External"/><Relationship Id="rId14" Type="http://schemas.openxmlformats.org/officeDocument/2006/relationships/hyperlink" Target="https://nexus-od-nih-gov.ezp-prod1.hul.harvard.edu/all/2015/11/30/update-postdoctoral-benefit-survey/" TargetMode="External"/><Relationship Id="rId22" Type="http://schemas.openxmlformats.org/officeDocument/2006/relationships/hyperlink" Target="https://www-nature-com.ezp-prod1.hul.harvard.edu/articles/d41586-020-03235-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Mayank Chugh</dc:creator>
  <cp:keywords/>
  <dc:description/>
  <cp:lastModifiedBy>Mayank Chugh</cp:lastModifiedBy>
  <cp:revision>5</cp:revision>
  <dcterms:created xsi:type="dcterms:W3CDTF">2023-04-15T01:11:00Z</dcterms:created>
  <dcterms:modified xsi:type="dcterms:W3CDTF">2023-04-15T02:01:00Z</dcterms:modified>
</cp:coreProperties>
</file>